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23CF7" w14:textId="77777777" w:rsidR="00184738" w:rsidRPr="00503A01" w:rsidRDefault="00184738" w:rsidP="000350F9">
      <w:pPr>
        <w:spacing w:after="0" w:line="240" w:lineRule="auto"/>
        <w:ind w:firstLine="720"/>
        <w:jc w:val="center"/>
        <w:rPr>
          <w:rFonts w:ascii="Times New Roman" w:hAnsi="Times New Roman" w:cs="Times New Roman"/>
          <w:b/>
          <w:bCs/>
          <w:sz w:val="24"/>
          <w:szCs w:val="24"/>
        </w:rPr>
      </w:pPr>
      <w:r w:rsidRPr="00503A01">
        <w:rPr>
          <w:rFonts w:ascii="Times New Roman" w:hAnsi="Times New Roman" w:cs="Times New Roman"/>
          <w:b/>
          <w:bCs/>
          <w:sz w:val="24"/>
          <w:szCs w:val="24"/>
        </w:rPr>
        <w:t>KALLËZIM PENAL</w:t>
      </w:r>
    </w:p>
    <w:p w14:paraId="04963ED3" w14:textId="77777777" w:rsidR="000B4DF7" w:rsidRPr="00503A01" w:rsidRDefault="000B4DF7" w:rsidP="00184738">
      <w:pPr>
        <w:spacing w:after="0" w:line="240" w:lineRule="auto"/>
        <w:jc w:val="both"/>
        <w:rPr>
          <w:rFonts w:ascii="Times New Roman" w:hAnsi="Times New Roman" w:cs="Times New Roman"/>
          <w:b/>
          <w:bCs/>
          <w:sz w:val="24"/>
          <w:szCs w:val="24"/>
        </w:rPr>
      </w:pPr>
    </w:p>
    <w:p w14:paraId="7305EA78" w14:textId="77777777" w:rsidR="00E04054" w:rsidRPr="00503A01" w:rsidRDefault="00E04054" w:rsidP="00184738">
      <w:pPr>
        <w:spacing w:after="0" w:line="240" w:lineRule="auto"/>
        <w:jc w:val="both"/>
        <w:rPr>
          <w:rFonts w:ascii="Times New Roman" w:hAnsi="Times New Roman" w:cs="Times New Roman"/>
          <w:b/>
          <w:bCs/>
          <w:sz w:val="24"/>
          <w:szCs w:val="24"/>
        </w:rPr>
      </w:pPr>
    </w:p>
    <w:p w14:paraId="1A438A6A" w14:textId="453192BB" w:rsidR="000B4DF7" w:rsidRPr="00503A01" w:rsidRDefault="00184738" w:rsidP="00F9402C">
      <w:pPr>
        <w:spacing w:after="0" w:line="240" w:lineRule="auto"/>
        <w:ind w:left="1843" w:hanging="1843"/>
        <w:jc w:val="both"/>
        <w:rPr>
          <w:rFonts w:ascii="Times New Roman" w:hAnsi="Times New Roman" w:cs="Times New Roman"/>
          <w:sz w:val="24"/>
          <w:szCs w:val="24"/>
        </w:rPr>
      </w:pPr>
      <w:r w:rsidRPr="00503A01">
        <w:rPr>
          <w:rFonts w:ascii="Times New Roman" w:hAnsi="Times New Roman" w:cs="Times New Roman"/>
          <w:bCs/>
          <w:smallCaps/>
          <w:sz w:val="24"/>
          <w:szCs w:val="24"/>
        </w:rPr>
        <w:t>Kallëzues:</w:t>
      </w:r>
      <w:r w:rsidR="000B4DF7" w:rsidRPr="00503A01">
        <w:rPr>
          <w:rFonts w:ascii="Times New Roman" w:hAnsi="Times New Roman" w:cs="Times New Roman"/>
          <w:b/>
          <w:bCs/>
          <w:sz w:val="24"/>
          <w:szCs w:val="24"/>
        </w:rPr>
        <w:tab/>
      </w:r>
      <w:r w:rsidR="000B4DF7" w:rsidRPr="00503A01">
        <w:rPr>
          <w:rFonts w:ascii="Times New Roman" w:hAnsi="Times New Roman" w:cs="Times New Roman"/>
          <w:sz w:val="24"/>
          <w:szCs w:val="24"/>
        </w:rPr>
        <w:t>Avokat</w:t>
      </w:r>
      <w:r w:rsidR="00117C24" w:rsidRPr="00503A01">
        <w:rPr>
          <w:rFonts w:ascii="Times New Roman" w:hAnsi="Times New Roman" w:cs="Times New Roman"/>
          <w:sz w:val="24"/>
          <w:szCs w:val="24"/>
        </w:rPr>
        <w:t>ë</w:t>
      </w:r>
      <w:r w:rsidR="000B4DF7" w:rsidRPr="00503A01">
        <w:rPr>
          <w:rFonts w:ascii="Times New Roman" w:hAnsi="Times New Roman" w:cs="Times New Roman"/>
          <w:sz w:val="24"/>
          <w:szCs w:val="24"/>
        </w:rPr>
        <w:t>, qytetar</w:t>
      </w:r>
      <w:r w:rsidR="00117C24" w:rsidRPr="00503A01">
        <w:rPr>
          <w:rFonts w:ascii="Times New Roman" w:hAnsi="Times New Roman" w:cs="Times New Roman"/>
          <w:sz w:val="24"/>
          <w:szCs w:val="24"/>
        </w:rPr>
        <w:t>ë</w:t>
      </w:r>
      <w:r w:rsidR="000B4DF7" w:rsidRPr="00503A01">
        <w:rPr>
          <w:rFonts w:ascii="Times New Roman" w:hAnsi="Times New Roman" w:cs="Times New Roman"/>
          <w:sz w:val="24"/>
          <w:szCs w:val="24"/>
        </w:rPr>
        <w:t xml:space="preserve"> dhe organizata</w:t>
      </w:r>
      <w:r w:rsidR="005F2568" w:rsidRPr="00503A01">
        <w:rPr>
          <w:rFonts w:ascii="Times New Roman" w:hAnsi="Times New Roman" w:cs="Times New Roman"/>
          <w:sz w:val="24"/>
          <w:szCs w:val="24"/>
        </w:rPr>
        <w:t>, q</w:t>
      </w:r>
      <w:r w:rsidR="00117C24" w:rsidRPr="00503A01">
        <w:rPr>
          <w:rFonts w:ascii="Times New Roman" w:hAnsi="Times New Roman" w:cs="Times New Roman"/>
          <w:sz w:val="24"/>
          <w:szCs w:val="24"/>
        </w:rPr>
        <w:t>ë</w:t>
      </w:r>
      <w:r w:rsidR="005F2568" w:rsidRPr="00503A01">
        <w:rPr>
          <w:rFonts w:ascii="Times New Roman" w:hAnsi="Times New Roman" w:cs="Times New Roman"/>
          <w:sz w:val="24"/>
          <w:szCs w:val="24"/>
        </w:rPr>
        <w:t xml:space="preserve"> jan</w:t>
      </w:r>
      <w:r w:rsidR="00117C24" w:rsidRPr="00503A01">
        <w:rPr>
          <w:rFonts w:ascii="Times New Roman" w:hAnsi="Times New Roman" w:cs="Times New Roman"/>
          <w:sz w:val="24"/>
          <w:szCs w:val="24"/>
        </w:rPr>
        <w:t>ë</w:t>
      </w:r>
      <w:r w:rsidR="005F2568" w:rsidRPr="00503A01">
        <w:rPr>
          <w:rFonts w:ascii="Times New Roman" w:hAnsi="Times New Roman" w:cs="Times New Roman"/>
          <w:sz w:val="24"/>
          <w:szCs w:val="24"/>
        </w:rPr>
        <w:t xml:space="preserve"> pjes</w:t>
      </w:r>
      <w:r w:rsidR="00117C24" w:rsidRPr="00503A01">
        <w:rPr>
          <w:rFonts w:ascii="Times New Roman" w:hAnsi="Times New Roman" w:cs="Times New Roman"/>
          <w:sz w:val="24"/>
          <w:szCs w:val="24"/>
        </w:rPr>
        <w:t>ë</w:t>
      </w:r>
      <w:r w:rsidR="005F2568" w:rsidRPr="00503A01">
        <w:rPr>
          <w:rFonts w:ascii="Times New Roman" w:hAnsi="Times New Roman" w:cs="Times New Roman"/>
          <w:sz w:val="24"/>
          <w:szCs w:val="24"/>
        </w:rPr>
        <w:t xml:space="preserve"> e </w:t>
      </w:r>
      <w:r w:rsidR="005F2568" w:rsidRPr="00503A01">
        <w:rPr>
          <w:rFonts w:ascii="Times New Roman" w:hAnsi="Times New Roman" w:cs="Times New Roman"/>
          <w:b/>
          <w:sz w:val="24"/>
          <w:szCs w:val="24"/>
        </w:rPr>
        <w:t>A</w:t>
      </w:r>
      <w:r w:rsidR="005733F7" w:rsidRPr="00503A01">
        <w:rPr>
          <w:rFonts w:ascii="Times New Roman" w:hAnsi="Times New Roman" w:cs="Times New Roman"/>
          <w:b/>
          <w:sz w:val="24"/>
          <w:szCs w:val="24"/>
        </w:rPr>
        <w:t xml:space="preserve">NEKSIT </w:t>
      </w:r>
      <w:r w:rsidR="005F2568" w:rsidRPr="00503A01">
        <w:rPr>
          <w:rFonts w:ascii="Times New Roman" w:hAnsi="Times New Roman" w:cs="Times New Roman"/>
          <w:b/>
          <w:sz w:val="24"/>
          <w:szCs w:val="24"/>
        </w:rPr>
        <w:t>1</w:t>
      </w:r>
    </w:p>
    <w:p w14:paraId="133EBBEA" w14:textId="77777777" w:rsidR="005F2568" w:rsidRPr="00503A01" w:rsidRDefault="005F2568" w:rsidP="00184738">
      <w:pPr>
        <w:spacing w:after="0" w:line="240" w:lineRule="auto"/>
        <w:jc w:val="both"/>
        <w:rPr>
          <w:rFonts w:ascii="Times New Roman" w:hAnsi="Times New Roman" w:cs="Times New Roman"/>
          <w:b/>
          <w:bCs/>
          <w:sz w:val="24"/>
          <w:szCs w:val="24"/>
        </w:rPr>
      </w:pPr>
    </w:p>
    <w:p w14:paraId="3B3AD19C" w14:textId="77777777" w:rsidR="00086A65" w:rsidRPr="00503A01" w:rsidRDefault="00086A65" w:rsidP="00974117">
      <w:pPr>
        <w:spacing w:after="0" w:line="240" w:lineRule="auto"/>
        <w:ind w:left="1843" w:hanging="1843"/>
        <w:jc w:val="both"/>
        <w:rPr>
          <w:rFonts w:ascii="Times New Roman" w:hAnsi="Times New Roman" w:cs="Times New Roman"/>
          <w:bCs/>
          <w:smallCaps/>
          <w:sz w:val="24"/>
          <w:szCs w:val="24"/>
        </w:rPr>
      </w:pPr>
      <w:r w:rsidRPr="00503A01">
        <w:rPr>
          <w:rFonts w:ascii="Times New Roman" w:hAnsi="Times New Roman" w:cs="Times New Roman"/>
          <w:bCs/>
          <w:smallCaps/>
          <w:sz w:val="24"/>
          <w:szCs w:val="24"/>
        </w:rPr>
        <w:t xml:space="preserve">Persona ndaj </w:t>
      </w:r>
    </w:p>
    <w:p w14:paraId="0736AE5B" w14:textId="50BBEABC" w:rsidR="00086A65" w:rsidRPr="00503A01" w:rsidRDefault="00086A65" w:rsidP="00086A65">
      <w:pPr>
        <w:spacing w:after="0" w:line="240" w:lineRule="auto"/>
        <w:ind w:left="1843" w:hanging="1843"/>
        <w:jc w:val="both"/>
        <w:rPr>
          <w:rFonts w:ascii="Times New Roman" w:hAnsi="Times New Roman" w:cs="Times New Roman"/>
          <w:bCs/>
          <w:smallCaps/>
          <w:sz w:val="24"/>
          <w:szCs w:val="24"/>
        </w:rPr>
      </w:pPr>
      <w:r w:rsidRPr="00503A01">
        <w:rPr>
          <w:rFonts w:ascii="Times New Roman" w:hAnsi="Times New Roman" w:cs="Times New Roman"/>
          <w:bCs/>
          <w:smallCaps/>
          <w:sz w:val="24"/>
          <w:szCs w:val="24"/>
        </w:rPr>
        <w:t xml:space="preserve">të cilëve </w:t>
      </w:r>
    </w:p>
    <w:p w14:paraId="257174C7" w14:textId="23080D49" w:rsidR="0029294F" w:rsidRPr="00503A01" w:rsidRDefault="00086A65" w:rsidP="00086A65">
      <w:pPr>
        <w:spacing w:after="0" w:line="240" w:lineRule="auto"/>
        <w:ind w:left="1843" w:hanging="1843"/>
        <w:jc w:val="both"/>
        <w:rPr>
          <w:rFonts w:ascii="Times New Roman" w:hAnsi="Times New Roman" w:cs="Times New Roman"/>
          <w:b/>
          <w:bCs/>
          <w:smallCaps/>
          <w:spacing w:val="-4"/>
          <w:sz w:val="24"/>
          <w:szCs w:val="24"/>
        </w:rPr>
      </w:pPr>
      <w:r w:rsidRPr="00503A01">
        <w:rPr>
          <w:rFonts w:ascii="Times New Roman" w:hAnsi="Times New Roman" w:cs="Times New Roman"/>
          <w:bCs/>
          <w:smallCaps/>
          <w:sz w:val="24"/>
          <w:szCs w:val="24"/>
        </w:rPr>
        <w:t>kërkohet hetim</w:t>
      </w:r>
      <w:r w:rsidR="00184738" w:rsidRPr="00503A01">
        <w:rPr>
          <w:rFonts w:ascii="Times New Roman" w:hAnsi="Times New Roman" w:cs="Times New Roman"/>
          <w:bCs/>
          <w:smallCaps/>
          <w:spacing w:val="-4"/>
          <w:sz w:val="24"/>
          <w:szCs w:val="24"/>
        </w:rPr>
        <w:t>:</w:t>
      </w:r>
      <w:r w:rsidR="005F2568" w:rsidRPr="00503A01">
        <w:rPr>
          <w:rFonts w:ascii="Times New Roman" w:hAnsi="Times New Roman" w:cs="Times New Roman"/>
          <w:bCs/>
          <w:smallCaps/>
          <w:spacing w:val="-4"/>
          <w:sz w:val="24"/>
          <w:szCs w:val="24"/>
        </w:rPr>
        <w:tab/>
      </w:r>
      <w:r w:rsidR="0029294F" w:rsidRPr="00503A01">
        <w:rPr>
          <w:rFonts w:ascii="Times New Roman" w:hAnsi="Times New Roman" w:cs="Times New Roman"/>
          <w:b/>
          <w:bCs/>
          <w:smallCaps/>
          <w:spacing w:val="-4"/>
          <w:sz w:val="24"/>
          <w:szCs w:val="24"/>
        </w:rPr>
        <w:t xml:space="preserve">1. </w:t>
      </w:r>
      <w:r w:rsidR="002D6A3F" w:rsidRPr="00503A01">
        <w:rPr>
          <w:rFonts w:ascii="Times New Roman" w:hAnsi="Times New Roman" w:cs="Times New Roman"/>
          <w:b/>
          <w:bCs/>
          <w:smallCaps/>
          <w:spacing w:val="-4"/>
          <w:sz w:val="24"/>
          <w:szCs w:val="24"/>
        </w:rPr>
        <w:t>D</w:t>
      </w:r>
      <w:r w:rsidR="002D6A3F" w:rsidRPr="00503A01">
        <w:rPr>
          <w:rFonts w:ascii="Times New Roman" w:hAnsi="Times New Roman" w:cs="Times New Roman"/>
          <w:b/>
          <w:bCs/>
          <w:smallCaps/>
          <w:spacing w:val="-4"/>
          <w:sz w:val="24"/>
          <w:szCs w:val="24"/>
        </w:rPr>
        <w:t>rejtues të Policisë së Shtetit</w:t>
      </w:r>
    </w:p>
    <w:p w14:paraId="7FF5B202" w14:textId="77777777" w:rsidR="0029294F" w:rsidRPr="00503A01" w:rsidRDefault="0029294F" w:rsidP="00974117">
      <w:pPr>
        <w:spacing w:after="0" w:line="240" w:lineRule="auto"/>
        <w:ind w:left="1843" w:hanging="1843"/>
        <w:jc w:val="both"/>
        <w:rPr>
          <w:rFonts w:ascii="Times New Roman" w:hAnsi="Times New Roman" w:cs="Times New Roman"/>
          <w:bCs/>
          <w:smallCaps/>
          <w:spacing w:val="-4"/>
          <w:sz w:val="24"/>
          <w:szCs w:val="24"/>
        </w:rPr>
      </w:pPr>
    </w:p>
    <w:p w14:paraId="27C20E92" w14:textId="79CDAF61" w:rsidR="000350F9" w:rsidRPr="00503A01" w:rsidRDefault="003D75D4" w:rsidP="002D6A3F">
      <w:pPr>
        <w:spacing w:after="0" w:line="240" w:lineRule="auto"/>
        <w:ind w:left="1843"/>
        <w:jc w:val="both"/>
        <w:rPr>
          <w:rFonts w:ascii="Times New Roman" w:hAnsi="Times New Roman" w:cs="Times New Roman"/>
          <w:smallCaps/>
          <w:spacing w:val="-4"/>
          <w:sz w:val="24"/>
          <w:szCs w:val="24"/>
        </w:rPr>
      </w:pPr>
      <w:r w:rsidRPr="00503A01">
        <w:rPr>
          <w:rFonts w:ascii="Times New Roman" w:hAnsi="Times New Roman" w:cs="Times New Roman"/>
          <w:b/>
          <w:spacing w:val="-4"/>
          <w:sz w:val="24"/>
          <w:szCs w:val="24"/>
        </w:rPr>
        <w:t>Skënder Hita</w:t>
      </w:r>
      <w:r w:rsidRPr="00503A01">
        <w:rPr>
          <w:rFonts w:ascii="Times New Roman" w:hAnsi="Times New Roman" w:cs="Times New Roman"/>
          <w:spacing w:val="-4"/>
          <w:sz w:val="24"/>
          <w:szCs w:val="24"/>
        </w:rPr>
        <w:t>, Drejtor i Përgjithshëm i Policisë së Shtetit, për veprimet ose mosveprimet e dyshuara, të përshkruara në këtë kallëzim, lidhur me organizimin, drejtimin dhe kontrollin e operacioneve policore, garantimin e identifikueshmërisë së efektivëve, dokumentimin e përdorimit të forcës dhe reagimin ndaj shkeljeve të denoncuara, sipas rolit dhe kontributit konkret që do të rezultojë nga hetimi.</w:t>
      </w:r>
    </w:p>
    <w:p w14:paraId="5D3DF3A3" w14:textId="77777777" w:rsidR="000350F9" w:rsidRPr="00503A01" w:rsidRDefault="000350F9" w:rsidP="00F9402C">
      <w:pPr>
        <w:spacing w:after="0" w:line="240" w:lineRule="auto"/>
        <w:ind w:left="1843" w:hanging="1843"/>
        <w:jc w:val="both"/>
        <w:rPr>
          <w:rFonts w:ascii="Times New Roman" w:hAnsi="Times New Roman" w:cs="Times New Roman"/>
          <w:b/>
          <w:bCs/>
          <w:spacing w:val="-4"/>
          <w:sz w:val="24"/>
          <w:szCs w:val="24"/>
        </w:rPr>
      </w:pPr>
    </w:p>
    <w:p w14:paraId="503D4FEF" w14:textId="77777777" w:rsidR="00FE794E" w:rsidRPr="00503A01" w:rsidRDefault="00FE794E" w:rsidP="00FE794E">
      <w:pPr>
        <w:spacing w:after="0" w:line="240" w:lineRule="auto"/>
        <w:ind w:left="1843"/>
        <w:jc w:val="both"/>
        <w:rPr>
          <w:rFonts w:ascii="Times New Roman" w:hAnsi="Times New Roman" w:cs="Times New Roman"/>
          <w:bCs/>
          <w:spacing w:val="-4"/>
          <w:sz w:val="24"/>
          <w:szCs w:val="24"/>
        </w:rPr>
      </w:pPr>
      <w:r w:rsidRPr="00503A01">
        <w:rPr>
          <w:rFonts w:ascii="Times New Roman" w:hAnsi="Times New Roman" w:cs="Times New Roman"/>
          <w:b/>
          <w:bCs/>
          <w:spacing w:val="-4"/>
          <w:sz w:val="24"/>
          <w:szCs w:val="24"/>
        </w:rPr>
        <w:t xml:space="preserve">Oliger Torba, </w:t>
      </w:r>
      <w:r w:rsidRPr="00503A01">
        <w:rPr>
          <w:rFonts w:ascii="Times New Roman" w:hAnsi="Times New Roman" w:cs="Times New Roman"/>
          <w:bCs/>
          <w:spacing w:val="-4"/>
          <w:sz w:val="24"/>
          <w:szCs w:val="24"/>
        </w:rPr>
        <w:t>Drejtor i Drejtorisë Vendore të Policisë Tiranë, për veprimet ose mosveprimet e dyshuara, të përshkruara në këtë kallëzim, lidhur me organizimin, drejtimin dhe kontrollin e strukturave policore vendore të angazhuara në operacionet objekt kallëzimi, përdorimin e forcës, shoqërimet dhe ndalimet, garantimin e identifikueshmërisë së efektivëve, dokumentimin e ndërhyrjeve dhe reagimin ndaj shkeljeve të denoncuara, sipas kompetencave, rolit dhe kontributit konkret që do të rezultojë nga hetimi.</w:t>
      </w:r>
    </w:p>
    <w:p w14:paraId="11CFD897" w14:textId="77777777" w:rsidR="00FE794E" w:rsidRPr="00503A01" w:rsidRDefault="00FE794E" w:rsidP="00FE794E">
      <w:pPr>
        <w:spacing w:after="0" w:line="240" w:lineRule="auto"/>
        <w:ind w:left="1843"/>
        <w:jc w:val="both"/>
        <w:rPr>
          <w:rFonts w:ascii="Times New Roman" w:hAnsi="Times New Roman" w:cs="Times New Roman"/>
          <w:b/>
          <w:bCs/>
          <w:spacing w:val="-4"/>
          <w:sz w:val="24"/>
          <w:szCs w:val="24"/>
        </w:rPr>
      </w:pPr>
    </w:p>
    <w:p w14:paraId="5B30551F" w14:textId="175E2576" w:rsidR="00FE794E" w:rsidRPr="00503A01" w:rsidRDefault="00FE794E" w:rsidP="00FE794E">
      <w:pPr>
        <w:spacing w:after="0" w:line="240" w:lineRule="auto"/>
        <w:ind w:left="1843"/>
        <w:jc w:val="both"/>
        <w:rPr>
          <w:rFonts w:ascii="Times New Roman" w:hAnsi="Times New Roman" w:cs="Times New Roman"/>
          <w:bCs/>
          <w:spacing w:val="-4"/>
          <w:sz w:val="24"/>
          <w:szCs w:val="24"/>
        </w:rPr>
      </w:pPr>
      <w:r w:rsidRPr="00503A01">
        <w:rPr>
          <w:rFonts w:ascii="Times New Roman" w:hAnsi="Times New Roman" w:cs="Times New Roman"/>
          <w:b/>
          <w:bCs/>
          <w:spacing w:val="-4"/>
          <w:sz w:val="24"/>
          <w:szCs w:val="24"/>
        </w:rPr>
        <w:t xml:space="preserve">Drejtuesit e Forcës Kombëtare të Sigurisë, përfshirë strukturat e ndërhyrjes së shpejtë dhe njësitë e tjera të posaçme, drejtuesit e njësive “Shqiponja”, strukturave operacionale dhe të policisë kriminale, si dhe drejtuesit e drejtorive të tjera vendore të Policisë së Shtetit, </w:t>
      </w:r>
      <w:r w:rsidRPr="00503A01">
        <w:rPr>
          <w:rFonts w:ascii="Times New Roman" w:hAnsi="Times New Roman" w:cs="Times New Roman"/>
          <w:bCs/>
          <w:spacing w:val="-4"/>
          <w:sz w:val="24"/>
          <w:szCs w:val="24"/>
        </w:rPr>
        <w:t>identiteti i të cilëve kërkohet të përcaktohet gjatë hetimit, për veprimet ose mosveprimet e dyshuara, të përshkruara në këtë kallëzim, lidhur me planifikimin, urdhërimin, drejtimin dhe kontrollin e ndërhyrjeve të strukturave përkatëse, dislokimin dhe identifikueshmërinë e efektivëve, përdorimin e forcës, shoqërimet dhe ndalimet, dokumentimin e veprimeve policore dhe reagimin ndaj shkeljeve të denoncuara, sipas kompetencave, rolit dhe kontributit konkret të secilit që do të rezultojë nga hetimi.</w:t>
      </w:r>
    </w:p>
    <w:p w14:paraId="0E390E67" w14:textId="77777777" w:rsidR="000F1BCA" w:rsidRPr="00503A01" w:rsidRDefault="000F1BCA" w:rsidP="00F9402C">
      <w:pPr>
        <w:spacing w:after="0" w:line="240" w:lineRule="auto"/>
        <w:ind w:left="1843"/>
        <w:jc w:val="both"/>
        <w:rPr>
          <w:rFonts w:ascii="Times New Roman" w:hAnsi="Times New Roman" w:cs="Times New Roman"/>
          <w:b/>
          <w:bCs/>
          <w:sz w:val="24"/>
          <w:szCs w:val="24"/>
        </w:rPr>
      </w:pPr>
    </w:p>
    <w:p w14:paraId="29A1AF2F" w14:textId="62A00B89" w:rsidR="002D6A3F" w:rsidRPr="00503A01" w:rsidRDefault="002D6A3F" w:rsidP="00F9402C">
      <w:pPr>
        <w:spacing w:after="0" w:line="240" w:lineRule="auto"/>
        <w:ind w:left="1843"/>
        <w:jc w:val="both"/>
        <w:rPr>
          <w:rFonts w:ascii="Times New Roman" w:hAnsi="Times New Roman" w:cs="Times New Roman"/>
          <w:b/>
          <w:bCs/>
          <w:smallCaps/>
          <w:sz w:val="24"/>
          <w:szCs w:val="24"/>
        </w:rPr>
      </w:pPr>
      <w:r w:rsidRPr="00503A01">
        <w:rPr>
          <w:rFonts w:ascii="Times New Roman" w:hAnsi="Times New Roman" w:cs="Times New Roman"/>
          <w:b/>
          <w:bCs/>
          <w:smallCaps/>
          <w:sz w:val="24"/>
          <w:szCs w:val="24"/>
        </w:rPr>
        <w:t>2. D</w:t>
      </w:r>
      <w:r w:rsidRPr="00503A01">
        <w:rPr>
          <w:rFonts w:ascii="Times New Roman" w:hAnsi="Times New Roman" w:cs="Times New Roman"/>
          <w:b/>
          <w:bCs/>
          <w:smallCaps/>
          <w:sz w:val="24"/>
          <w:szCs w:val="24"/>
        </w:rPr>
        <w:t>rejt</w:t>
      </w:r>
      <w:r w:rsidRPr="00503A01">
        <w:rPr>
          <w:rFonts w:ascii="Times New Roman" w:hAnsi="Times New Roman" w:cs="Times New Roman"/>
          <w:b/>
          <w:bCs/>
          <w:smallCaps/>
          <w:sz w:val="24"/>
          <w:szCs w:val="24"/>
        </w:rPr>
        <w:t>ues</w:t>
      </w:r>
      <w:r w:rsidRPr="00503A01">
        <w:rPr>
          <w:rFonts w:ascii="Times New Roman" w:hAnsi="Times New Roman" w:cs="Times New Roman"/>
          <w:b/>
          <w:bCs/>
          <w:smallCaps/>
          <w:sz w:val="24"/>
          <w:szCs w:val="24"/>
        </w:rPr>
        <w:t xml:space="preserve"> politik</w:t>
      </w:r>
      <w:r w:rsidR="005B79B4" w:rsidRPr="00503A01">
        <w:rPr>
          <w:rFonts w:ascii="Times New Roman" w:hAnsi="Times New Roman" w:cs="Times New Roman"/>
          <w:b/>
          <w:bCs/>
          <w:smallCaps/>
          <w:sz w:val="24"/>
          <w:szCs w:val="24"/>
        </w:rPr>
        <w:t>ë</w:t>
      </w:r>
      <w:r w:rsidRPr="00503A01">
        <w:rPr>
          <w:rFonts w:ascii="Times New Roman" w:hAnsi="Times New Roman" w:cs="Times New Roman"/>
          <w:b/>
          <w:bCs/>
          <w:smallCaps/>
          <w:sz w:val="24"/>
          <w:szCs w:val="24"/>
        </w:rPr>
        <w:t>, roli i të cilëve kërkohet të verifikohet gjatë hetimit</w:t>
      </w:r>
    </w:p>
    <w:p w14:paraId="02C65070" w14:textId="77777777" w:rsidR="002D6A3F" w:rsidRPr="00503A01" w:rsidRDefault="002D6A3F" w:rsidP="00F9402C">
      <w:pPr>
        <w:spacing w:after="0" w:line="240" w:lineRule="auto"/>
        <w:ind w:left="1843"/>
        <w:jc w:val="both"/>
        <w:rPr>
          <w:rFonts w:ascii="Times New Roman" w:hAnsi="Times New Roman" w:cs="Times New Roman"/>
          <w:b/>
          <w:bCs/>
          <w:sz w:val="24"/>
          <w:szCs w:val="24"/>
        </w:rPr>
      </w:pPr>
    </w:p>
    <w:p w14:paraId="0F587EF1" w14:textId="7A20FC45" w:rsidR="00184738" w:rsidRPr="00503A01" w:rsidRDefault="00426E30" w:rsidP="00F9402C">
      <w:pPr>
        <w:spacing w:after="0" w:line="240" w:lineRule="auto"/>
        <w:ind w:left="1843"/>
        <w:jc w:val="both"/>
        <w:rPr>
          <w:rFonts w:ascii="Times New Roman" w:hAnsi="Times New Roman" w:cs="Times New Roman"/>
          <w:sz w:val="24"/>
          <w:szCs w:val="24"/>
        </w:rPr>
      </w:pPr>
      <w:r w:rsidRPr="00503A01">
        <w:rPr>
          <w:rFonts w:ascii="Times New Roman" w:hAnsi="Times New Roman" w:cs="Times New Roman"/>
          <w:b/>
          <w:bCs/>
          <w:sz w:val="24"/>
          <w:szCs w:val="24"/>
        </w:rPr>
        <w:t>Edi Rama</w:t>
      </w:r>
      <w:r w:rsidRPr="00503A01">
        <w:rPr>
          <w:rFonts w:ascii="Times New Roman" w:hAnsi="Times New Roman" w:cs="Times New Roman"/>
          <w:bCs/>
          <w:sz w:val="24"/>
          <w:szCs w:val="24"/>
        </w:rPr>
        <w:t>, Kryeministër, për të cilin kërkohet verifikimi i komunikimeve, udhëzimeve dhe vendimmarrjeve të lidhura me faktet e përshkruara në këtë kallëzim, përfshirë kontekstin dhe zbatimin eventual të deklarimeve publike të cituara, me qëllim përcaktimin nëse ka pasur kontribut konkret e të vetëdijshëm në praktikat e dyshuara të kundërligjshme.</w:t>
      </w:r>
    </w:p>
    <w:p w14:paraId="525A49C0" w14:textId="77777777" w:rsidR="00E04054" w:rsidRPr="00503A01" w:rsidRDefault="00E04054" w:rsidP="002342F7">
      <w:pPr>
        <w:spacing w:after="0" w:line="240" w:lineRule="auto"/>
        <w:ind w:left="1843"/>
        <w:jc w:val="both"/>
        <w:rPr>
          <w:rFonts w:ascii="Times New Roman" w:hAnsi="Times New Roman" w:cs="Times New Roman"/>
          <w:b/>
          <w:bCs/>
          <w:spacing w:val="-4"/>
          <w:sz w:val="24"/>
          <w:szCs w:val="24"/>
        </w:rPr>
      </w:pPr>
    </w:p>
    <w:p w14:paraId="20B1DC6B" w14:textId="249E2372" w:rsidR="0040007A" w:rsidRPr="00503A01" w:rsidRDefault="00426E30" w:rsidP="0040007A">
      <w:pPr>
        <w:spacing w:after="0" w:line="240" w:lineRule="auto"/>
        <w:ind w:left="1843"/>
        <w:jc w:val="both"/>
        <w:rPr>
          <w:rFonts w:ascii="Times New Roman" w:hAnsi="Times New Roman" w:cs="Times New Roman"/>
          <w:smallCaps/>
          <w:sz w:val="24"/>
          <w:szCs w:val="24"/>
        </w:rPr>
      </w:pPr>
      <w:r w:rsidRPr="00503A01">
        <w:rPr>
          <w:rFonts w:ascii="Times New Roman" w:hAnsi="Times New Roman" w:cs="Times New Roman"/>
          <w:b/>
          <w:sz w:val="24"/>
          <w:szCs w:val="24"/>
        </w:rPr>
        <w:t>Ervin Demo</w:t>
      </w:r>
      <w:r w:rsidRPr="00503A01">
        <w:rPr>
          <w:rFonts w:ascii="Times New Roman" w:hAnsi="Times New Roman" w:cs="Times New Roman"/>
          <w:sz w:val="24"/>
          <w:szCs w:val="24"/>
        </w:rPr>
        <w:t>, Ministër i Punëve të Brendshme, për të cilin kërkohet verifikimi i informacionit të marrë mbi shkeljet e denoncuara, ushtrimit të kompetencave të kontrollit administrativ, masave të ndërmarra dhe komunikimeve me drejtuesit policorë, për të përcaktuar nëse veprimet ose mosveprimet konkrete të tij kanë rëndësi penale.</w:t>
      </w:r>
    </w:p>
    <w:p w14:paraId="5FD10430" w14:textId="61862C11" w:rsidR="004F101B" w:rsidRPr="00503A01" w:rsidRDefault="004F101B" w:rsidP="002342F7">
      <w:pPr>
        <w:spacing w:after="0" w:line="240" w:lineRule="auto"/>
        <w:ind w:left="1843"/>
        <w:jc w:val="both"/>
        <w:rPr>
          <w:rFonts w:ascii="Times New Roman" w:hAnsi="Times New Roman" w:cs="Times New Roman"/>
          <w:b/>
          <w:bCs/>
          <w:smallCaps/>
          <w:spacing w:val="-4"/>
          <w:sz w:val="24"/>
          <w:szCs w:val="24"/>
        </w:rPr>
      </w:pPr>
      <w:r w:rsidRPr="00503A01">
        <w:rPr>
          <w:rFonts w:ascii="Times New Roman" w:hAnsi="Times New Roman" w:cs="Times New Roman"/>
          <w:b/>
          <w:bCs/>
          <w:smallCaps/>
          <w:spacing w:val="-4"/>
          <w:sz w:val="24"/>
          <w:szCs w:val="24"/>
        </w:rPr>
        <w:lastRenderedPageBreak/>
        <w:t>3. T</w:t>
      </w:r>
      <w:r w:rsidR="005B79B4" w:rsidRPr="00503A01">
        <w:rPr>
          <w:rFonts w:ascii="Times New Roman" w:hAnsi="Times New Roman" w:cs="Times New Roman"/>
          <w:b/>
          <w:bCs/>
          <w:smallCaps/>
          <w:spacing w:val="-4"/>
          <w:sz w:val="24"/>
          <w:szCs w:val="24"/>
        </w:rPr>
        <w:t>ë</w:t>
      </w:r>
      <w:r w:rsidRPr="00503A01">
        <w:rPr>
          <w:rFonts w:ascii="Times New Roman" w:hAnsi="Times New Roman" w:cs="Times New Roman"/>
          <w:b/>
          <w:bCs/>
          <w:smallCaps/>
          <w:spacing w:val="-4"/>
          <w:sz w:val="24"/>
          <w:szCs w:val="24"/>
        </w:rPr>
        <w:t xml:space="preserve"> tjer</w:t>
      </w:r>
      <w:r w:rsidR="005B79B4" w:rsidRPr="00503A01">
        <w:rPr>
          <w:rFonts w:ascii="Times New Roman" w:hAnsi="Times New Roman" w:cs="Times New Roman"/>
          <w:b/>
          <w:bCs/>
          <w:smallCaps/>
          <w:spacing w:val="-4"/>
          <w:sz w:val="24"/>
          <w:szCs w:val="24"/>
        </w:rPr>
        <w:t>ë</w:t>
      </w:r>
    </w:p>
    <w:p w14:paraId="73E62362" w14:textId="77777777" w:rsidR="004F101B" w:rsidRPr="00503A01" w:rsidRDefault="004F101B" w:rsidP="002342F7">
      <w:pPr>
        <w:spacing w:after="0" w:line="240" w:lineRule="auto"/>
        <w:ind w:left="1843"/>
        <w:jc w:val="both"/>
        <w:rPr>
          <w:rFonts w:ascii="Times New Roman" w:hAnsi="Times New Roman" w:cs="Times New Roman"/>
          <w:b/>
          <w:bCs/>
          <w:spacing w:val="-4"/>
          <w:sz w:val="24"/>
          <w:szCs w:val="24"/>
        </w:rPr>
      </w:pPr>
    </w:p>
    <w:p w14:paraId="52C7A1C2" w14:textId="478C0C97" w:rsidR="002342F7" w:rsidRPr="00503A01" w:rsidRDefault="002342F7" w:rsidP="002342F7">
      <w:pPr>
        <w:spacing w:after="0" w:line="240" w:lineRule="auto"/>
        <w:ind w:left="1843"/>
        <w:jc w:val="both"/>
        <w:rPr>
          <w:rFonts w:ascii="Times New Roman" w:hAnsi="Times New Roman" w:cs="Times New Roman"/>
          <w:bCs/>
          <w:spacing w:val="-4"/>
          <w:sz w:val="24"/>
          <w:szCs w:val="24"/>
        </w:rPr>
      </w:pPr>
      <w:r w:rsidRPr="00503A01">
        <w:rPr>
          <w:rFonts w:ascii="Times New Roman" w:hAnsi="Times New Roman" w:cs="Times New Roman"/>
          <w:b/>
          <w:bCs/>
          <w:spacing w:val="-4"/>
          <w:sz w:val="24"/>
          <w:szCs w:val="24"/>
        </w:rPr>
        <w:t>Persona të tjerë, funksionarë publikë ose privatë</w:t>
      </w:r>
      <w:r w:rsidRPr="00503A01">
        <w:rPr>
          <w:rFonts w:ascii="Times New Roman" w:hAnsi="Times New Roman" w:cs="Times New Roman"/>
          <w:bCs/>
          <w:spacing w:val="-4"/>
          <w:sz w:val="24"/>
          <w:szCs w:val="24"/>
        </w:rPr>
        <w:t xml:space="preserve">, për të cilët gjatë hetimit mund të rezultojnë të dhëna për organizimin, urdhërimin, nxitjen, lehtësimin ose mbështetjen me vetëdije të veprimtarisë së dyshuar, përfshirë veprimet që synojnë shtypjen e protestave, krijimin e kushteve për kryerjen e veprave penale nga efektivët dhe pengimin e identifikimit </w:t>
      </w:r>
      <w:r w:rsidR="005B79B4" w:rsidRPr="00503A01">
        <w:rPr>
          <w:rFonts w:ascii="Times New Roman" w:hAnsi="Times New Roman" w:cs="Times New Roman"/>
          <w:bCs/>
          <w:spacing w:val="-4"/>
          <w:sz w:val="24"/>
          <w:szCs w:val="24"/>
        </w:rPr>
        <w:t>dhe</w:t>
      </w:r>
      <w:r w:rsidRPr="00503A01">
        <w:rPr>
          <w:rFonts w:ascii="Times New Roman" w:hAnsi="Times New Roman" w:cs="Times New Roman"/>
          <w:bCs/>
          <w:spacing w:val="-4"/>
          <w:sz w:val="24"/>
          <w:szCs w:val="24"/>
        </w:rPr>
        <w:t xml:space="preserve"> ndëshkimit të autorëve.</w:t>
      </w:r>
    </w:p>
    <w:p w14:paraId="61F2F082" w14:textId="77777777" w:rsidR="003121CC" w:rsidRPr="00503A01" w:rsidRDefault="003121CC" w:rsidP="00184738">
      <w:pPr>
        <w:spacing w:after="0" w:line="240" w:lineRule="auto"/>
        <w:jc w:val="both"/>
        <w:rPr>
          <w:rFonts w:ascii="Times New Roman" w:hAnsi="Times New Roman" w:cs="Times New Roman"/>
          <w:b/>
          <w:bCs/>
          <w:sz w:val="24"/>
          <w:szCs w:val="24"/>
        </w:rPr>
      </w:pPr>
    </w:p>
    <w:p w14:paraId="14A1972E" w14:textId="2F14ABBF" w:rsidR="00AA377D" w:rsidRPr="00503A01" w:rsidRDefault="00184738" w:rsidP="00F9402C">
      <w:pPr>
        <w:spacing w:after="0" w:line="240" w:lineRule="auto"/>
        <w:ind w:left="1843" w:hanging="1843"/>
        <w:jc w:val="both"/>
        <w:rPr>
          <w:rFonts w:ascii="Times New Roman" w:hAnsi="Times New Roman" w:cs="Times New Roman"/>
          <w:sz w:val="24"/>
          <w:szCs w:val="24"/>
        </w:rPr>
      </w:pPr>
      <w:r w:rsidRPr="00503A01">
        <w:rPr>
          <w:rFonts w:ascii="Times New Roman" w:hAnsi="Times New Roman" w:cs="Times New Roman"/>
          <w:bCs/>
          <w:smallCaps/>
          <w:sz w:val="24"/>
          <w:szCs w:val="24"/>
        </w:rPr>
        <w:t>Objekti:</w:t>
      </w:r>
      <w:r w:rsidR="003121CC" w:rsidRPr="00503A01">
        <w:rPr>
          <w:rFonts w:ascii="Times New Roman" w:hAnsi="Times New Roman" w:cs="Times New Roman"/>
          <w:smallCaps/>
          <w:sz w:val="24"/>
          <w:szCs w:val="24"/>
        </w:rPr>
        <w:tab/>
      </w:r>
      <w:r w:rsidR="00AA377D" w:rsidRPr="00503A01">
        <w:rPr>
          <w:rFonts w:ascii="Times New Roman" w:hAnsi="Times New Roman" w:cs="Times New Roman"/>
          <w:sz w:val="24"/>
          <w:szCs w:val="24"/>
        </w:rPr>
        <w:t>Kallëzim penal për dyshime mbi organizimin, urdhërimin, lejimin dhe zbatimin e një veprimtarie të kundërligjshme</w:t>
      </w:r>
      <w:r w:rsidR="000B29A9" w:rsidRPr="00503A01">
        <w:rPr>
          <w:rFonts w:ascii="Times New Roman" w:hAnsi="Times New Roman" w:cs="Times New Roman"/>
          <w:sz w:val="24"/>
          <w:szCs w:val="24"/>
        </w:rPr>
        <w:t>, n</w:t>
      </w:r>
      <w:r w:rsidR="005B79B4" w:rsidRPr="00503A01">
        <w:rPr>
          <w:rFonts w:ascii="Times New Roman" w:hAnsi="Times New Roman" w:cs="Times New Roman"/>
          <w:sz w:val="24"/>
          <w:szCs w:val="24"/>
        </w:rPr>
        <w:t>ë</w:t>
      </w:r>
      <w:r w:rsidR="000B29A9" w:rsidRPr="00503A01">
        <w:rPr>
          <w:rFonts w:ascii="Times New Roman" w:hAnsi="Times New Roman" w:cs="Times New Roman"/>
          <w:sz w:val="24"/>
          <w:szCs w:val="24"/>
        </w:rPr>
        <w:t xml:space="preserve"> form</w:t>
      </w:r>
      <w:r w:rsidR="005B79B4" w:rsidRPr="00503A01">
        <w:rPr>
          <w:rFonts w:ascii="Times New Roman" w:hAnsi="Times New Roman" w:cs="Times New Roman"/>
          <w:sz w:val="24"/>
          <w:szCs w:val="24"/>
        </w:rPr>
        <w:t>ë</w:t>
      </w:r>
      <w:r w:rsidR="000B29A9" w:rsidRPr="00503A01">
        <w:rPr>
          <w:rFonts w:ascii="Times New Roman" w:hAnsi="Times New Roman" w:cs="Times New Roman"/>
          <w:sz w:val="24"/>
          <w:szCs w:val="24"/>
        </w:rPr>
        <w:t>n e nj</w:t>
      </w:r>
      <w:r w:rsidR="005B79B4" w:rsidRPr="00503A01">
        <w:rPr>
          <w:rFonts w:ascii="Times New Roman" w:hAnsi="Times New Roman" w:cs="Times New Roman"/>
          <w:sz w:val="24"/>
          <w:szCs w:val="24"/>
        </w:rPr>
        <w:t>ë</w:t>
      </w:r>
      <w:r w:rsidR="000B29A9" w:rsidRPr="00503A01">
        <w:rPr>
          <w:rFonts w:ascii="Times New Roman" w:hAnsi="Times New Roman" w:cs="Times New Roman"/>
          <w:sz w:val="24"/>
          <w:szCs w:val="24"/>
        </w:rPr>
        <w:t xml:space="preserve"> fushate terrori</w:t>
      </w:r>
      <w:r w:rsidR="00AA377D" w:rsidRPr="00503A01">
        <w:rPr>
          <w:rFonts w:ascii="Times New Roman" w:hAnsi="Times New Roman" w:cs="Times New Roman"/>
          <w:sz w:val="24"/>
          <w:szCs w:val="24"/>
        </w:rPr>
        <w:t xml:space="preserve">, të orientuar drejt pengimit dhe dekurajimit të shtetasve nga ushtrimi i lirisë së shprehjes dhe tubimit, përmes përdorimit të dhunës fizike, </w:t>
      </w:r>
      <w:r w:rsidR="000B29A9" w:rsidRPr="00503A01">
        <w:rPr>
          <w:rFonts w:ascii="Times New Roman" w:hAnsi="Times New Roman" w:cs="Times New Roman"/>
          <w:sz w:val="24"/>
          <w:szCs w:val="24"/>
        </w:rPr>
        <w:t>arm</w:t>
      </w:r>
      <w:r w:rsidR="005B79B4" w:rsidRPr="00503A01">
        <w:rPr>
          <w:rFonts w:ascii="Times New Roman" w:hAnsi="Times New Roman" w:cs="Times New Roman"/>
          <w:sz w:val="24"/>
          <w:szCs w:val="24"/>
        </w:rPr>
        <w:t>ë</w:t>
      </w:r>
      <w:r w:rsidR="000B29A9" w:rsidRPr="00503A01">
        <w:rPr>
          <w:rFonts w:ascii="Times New Roman" w:hAnsi="Times New Roman" w:cs="Times New Roman"/>
          <w:sz w:val="24"/>
          <w:szCs w:val="24"/>
        </w:rPr>
        <w:t xml:space="preserve">ve kinetike, </w:t>
      </w:r>
      <w:r w:rsidR="00AA377D" w:rsidRPr="00503A01">
        <w:rPr>
          <w:rFonts w:ascii="Times New Roman" w:hAnsi="Times New Roman" w:cs="Times New Roman"/>
          <w:sz w:val="24"/>
          <w:szCs w:val="24"/>
        </w:rPr>
        <w:t>privimeve arbitrare të lirisë, trajtimit degradues, intimidimit dhe veprimeve të tjera të paligjshme, duke krijuar dhe ruajtur njëkohësisht mekanizma që pengojnë identifikimin e efektivëve policorë, dokumentimin e veprimeve të tyre dhe ndjekjen penale të autorëve.</w:t>
      </w:r>
    </w:p>
    <w:p w14:paraId="1AA2E07C" w14:textId="77777777" w:rsidR="00AA377D" w:rsidRPr="00503A01" w:rsidRDefault="00AA377D" w:rsidP="00F9402C">
      <w:pPr>
        <w:spacing w:after="0" w:line="240" w:lineRule="auto"/>
        <w:ind w:left="1843" w:hanging="1843"/>
        <w:jc w:val="both"/>
        <w:rPr>
          <w:rFonts w:ascii="Times New Roman" w:hAnsi="Times New Roman" w:cs="Times New Roman"/>
          <w:sz w:val="24"/>
          <w:szCs w:val="24"/>
        </w:rPr>
      </w:pPr>
    </w:p>
    <w:p w14:paraId="7A5D5CCE" w14:textId="43FB08E1" w:rsidR="00964F15" w:rsidRPr="00503A01" w:rsidRDefault="00964F15" w:rsidP="00F9402C">
      <w:pPr>
        <w:spacing w:after="0" w:line="240" w:lineRule="auto"/>
        <w:ind w:left="1843"/>
        <w:jc w:val="both"/>
        <w:rPr>
          <w:rFonts w:ascii="Times New Roman" w:hAnsi="Times New Roman" w:cs="Times New Roman"/>
          <w:sz w:val="24"/>
          <w:szCs w:val="24"/>
        </w:rPr>
      </w:pPr>
      <w:r w:rsidRPr="00503A01">
        <w:rPr>
          <w:rFonts w:ascii="Times New Roman" w:hAnsi="Times New Roman" w:cs="Times New Roman"/>
          <w:sz w:val="24"/>
          <w:szCs w:val="24"/>
        </w:rPr>
        <w:t xml:space="preserve">Kërkohet hetimi i fakteve që lidhen me organizimin, urdhërimin, lejimin, mosndërprerjen dhe mbulimin e veprimeve të kundërligjshme të punonjësve të Policisë së Shtetit, në lidhje me veprat penale të “Torturës” parashikuar nga nenet 86 dhe 87, “Plagosjes së rëndë me dashje”, “Plagosjes së lehtë me dashje”, sipas neneve 88, “Heqjes së paligjshme të lirisë”, sipas nenit 110, “Shpërdorimit të detyrës”, sipas nenit 248, “Kryerjes së veprimeve arbitrare”, sipas nenit 250, “Mosmarrjes së masave për të ndërprerë gjendjen e paligjshme”, sipas nenit 251, dhe “Pengimit në ushtrimin e së drejtës për t’u shprehur, grumbulluar apo manifestuar”, sipas nenit 261, paragrafët 1 dhe 2, të Kodit Penal, në varësi të rrethanave dhe pasojave të secilit rast; </w:t>
      </w:r>
      <w:r w:rsidR="00B2159C" w:rsidRPr="00503A01">
        <w:rPr>
          <w:rFonts w:ascii="Times New Roman" w:hAnsi="Times New Roman" w:cs="Times New Roman"/>
          <w:sz w:val="24"/>
          <w:szCs w:val="24"/>
        </w:rPr>
        <w:t xml:space="preserve">si dhe verifikimin e elementeve të “Vrasjes me dashje”, të mbetur në tentativë, sipas nenit 76 në lidhje me nenin 22 të Kodit Penal, për episodet e shënjestrimit të kokës </w:t>
      </w:r>
      <w:r w:rsidR="00B2159C" w:rsidRPr="00503A01">
        <w:rPr>
          <w:rFonts w:ascii="Times New Roman" w:hAnsi="Times New Roman" w:cs="Times New Roman"/>
          <w:sz w:val="24"/>
          <w:szCs w:val="24"/>
        </w:rPr>
        <w:t xml:space="preserve">dhe </w:t>
      </w:r>
      <w:r w:rsidR="00B2159C" w:rsidRPr="00503A01">
        <w:rPr>
          <w:rFonts w:ascii="Times New Roman" w:hAnsi="Times New Roman" w:cs="Times New Roman"/>
          <w:sz w:val="24"/>
          <w:szCs w:val="24"/>
        </w:rPr>
        <w:t>të qitjes me predha kinetike drejt turmës në lartësinë e kokës, duke hetuar mënyrën konkrete të përdorimit, potencialin vdekjeprurës të municionit dhe qëndrimin subjektiv të autorëve ndaj mundësisë së shkaktimit të vdekjes</w:t>
      </w:r>
      <w:r w:rsidR="00B2159C" w:rsidRPr="00503A01">
        <w:rPr>
          <w:rFonts w:ascii="Times New Roman" w:hAnsi="Times New Roman" w:cs="Times New Roman"/>
          <w:sz w:val="24"/>
          <w:szCs w:val="24"/>
        </w:rPr>
        <w:t>,</w:t>
      </w:r>
      <w:r w:rsidR="00912737" w:rsidRPr="00503A01">
        <w:rPr>
          <w:rFonts w:ascii="Times New Roman" w:hAnsi="Times New Roman" w:cs="Times New Roman"/>
          <w:sz w:val="24"/>
          <w:szCs w:val="24"/>
        </w:rPr>
        <w:t xml:space="preserve"> </w:t>
      </w:r>
      <w:r w:rsidRPr="00503A01">
        <w:rPr>
          <w:rFonts w:ascii="Times New Roman" w:hAnsi="Times New Roman" w:cs="Times New Roman"/>
          <w:sz w:val="24"/>
          <w:szCs w:val="24"/>
        </w:rPr>
        <w:t>si dhe hetimi i përgjegjësisë penale të personave që mund të kenë kontribuar në kryerjen e këtyre veprave, eventualisht në bashkëpunim sipas neneve 25–27, dhe vlerësimi i ekzistencës së elementeve të krijimit, organizimit, drejtimit ose pjesëmarrjes në një grup të strukturuar kriminal, sipas neneve 28/4 dhe 333/a të Kodit Penal, pa përjashtuar vepra të tjera penale që mund të rezultojnë nga hetimi</w:t>
      </w:r>
      <w:r w:rsidR="00C84CFD" w:rsidRPr="00503A01">
        <w:rPr>
          <w:rFonts w:ascii="Times New Roman" w:hAnsi="Times New Roman" w:cs="Times New Roman"/>
          <w:sz w:val="24"/>
          <w:szCs w:val="24"/>
        </w:rPr>
        <w:t>.</w:t>
      </w:r>
    </w:p>
    <w:p w14:paraId="71FC8EFB" w14:textId="77777777" w:rsidR="00C84CFD" w:rsidRPr="00503A01" w:rsidRDefault="00C84CFD" w:rsidP="00F9402C">
      <w:pPr>
        <w:spacing w:after="0" w:line="240" w:lineRule="auto"/>
        <w:ind w:left="1843"/>
        <w:jc w:val="both"/>
        <w:rPr>
          <w:rFonts w:ascii="Times New Roman" w:hAnsi="Times New Roman" w:cs="Times New Roman"/>
          <w:sz w:val="24"/>
          <w:szCs w:val="24"/>
        </w:rPr>
      </w:pPr>
    </w:p>
    <w:p w14:paraId="66080D79" w14:textId="3EE75173" w:rsidR="00C84CFD" w:rsidRPr="00503A01" w:rsidRDefault="00C84CFD" w:rsidP="00F9402C">
      <w:pPr>
        <w:spacing w:after="0" w:line="240" w:lineRule="auto"/>
        <w:ind w:left="1843"/>
        <w:jc w:val="both"/>
        <w:rPr>
          <w:rFonts w:ascii="Times New Roman" w:hAnsi="Times New Roman" w:cs="Times New Roman"/>
          <w:sz w:val="24"/>
          <w:szCs w:val="24"/>
        </w:rPr>
      </w:pPr>
      <w:r w:rsidRPr="00503A01">
        <w:rPr>
          <w:rFonts w:ascii="Times New Roman" w:hAnsi="Times New Roman" w:cs="Times New Roman"/>
          <w:sz w:val="24"/>
          <w:szCs w:val="24"/>
        </w:rPr>
        <w:t>Referencat ndaj dispozitave penale përbëjnë vlerësimin paraprak juridik të kallëzuesve mbi faktet e paraqitura. Ato nuk synojnë të kufizojnë objektin e hetimit apo përcaktimin e cilësimit juridik nga organi procedues, të cilit i kërkohet të verifikojë çdo vepër penale që mund të rezultojë nga faktet dhe provat e administruara.</w:t>
      </w:r>
    </w:p>
    <w:p w14:paraId="16D34175" w14:textId="77777777" w:rsidR="003121CC" w:rsidRPr="00503A01" w:rsidRDefault="003121CC" w:rsidP="00184738">
      <w:pPr>
        <w:spacing w:after="0" w:line="240" w:lineRule="auto"/>
        <w:jc w:val="both"/>
        <w:rPr>
          <w:rFonts w:ascii="Times New Roman" w:hAnsi="Times New Roman" w:cs="Times New Roman"/>
          <w:b/>
          <w:bCs/>
          <w:sz w:val="24"/>
          <w:szCs w:val="24"/>
        </w:rPr>
      </w:pPr>
    </w:p>
    <w:p w14:paraId="25EE4FC0" w14:textId="494B2D43" w:rsidR="00184738" w:rsidRPr="00503A01" w:rsidRDefault="00184738" w:rsidP="00F9402C">
      <w:pPr>
        <w:spacing w:after="0" w:line="240" w:lineRule="auto"/>
        <w:ind w:left="1843" w:hanging="1843"/>
        <w:jc w:val="both"/>
        <w:rPr>
          <w:rFonts w:ascii="Times New Roman" w:hAnsi="Times New Roman" w:cs="Times New Roman"/>
          <w:smallCaps/>
          <w:sz w:val="24"/>
          <w:szCs w:val="24"/>
        </w:rPr>
      </w:pPr>
      <w:r w:rsidRPr="00503A01">
        <w:rPr>
          <w:rFonts w:ascii="Times New Roman" w:hAnsi="Times New Roman" w:cs="Times New Roman"/>
          <w:bCs/>
          <w:smallCaps/>
          <w:sz w:val="24"/>
          <w:szCs w:val="24"/>
        </w:rPr>
        <w:t xml:space="preserve">Baza </w:t>
      </w:r>
      <w:r w:rsidR="003121CC" w:rsidRPr="00503A01">
        <w:rPr>
          <w:rFonts w:ascii="Times New Roman" w:hAnsi="Times New Roman" w:cs="Times New Roman"/>
          <w:bCs/>
          <w:smallCaps/>
          <w:sz w:val="24"/>
          <w:szCs w:val="24"/>
        </w:rPr>
        <w:t>Ligjore</w:t>
      </w:r>
      <w:r w:rsidRPr="00503A01">
        <w:rPr>
          <w:rFonts w:ascii="Times New Roman" w:hAnsi="Times New Roman" w:cs="Times New Roman"/>
          <w:bCs/>
          <w:smallCaps/>
          <w:sz w:val="24"/>
          <w:szCs w:val="24"/>
        </w:rPr>
        <w:t>:</w:t>
      </w:r>
      <w:r w:rsidR="003121CC" w:rsidRPr="00503A01">
        <w:rPr>
          <w:rFonts w:ascii="Times New Roman" w:hAnsi="Times New Roman" w:cs="Times New Roman"/>
          <w:smallCaps/>
          <w:sz w:val="24"/>
          <w:szCs w:val="24"/>
        </w:rPr>
        <w:tab/>
      </w:r>
      <w:r w:rsidRPr="00503A01">
        <w:rPr>
          <w:rFonts w:ascii="Times New Roman" w:hAnsi="Times New Roman" w:cs="Times New Roman"/>
          <w:sz w:val="24"/>
          <w:szCs w:val="24"/>
        </w:rPr>
        <w:t>Nenet 283 dhe 287 të Kodit të Procedurës Penale.</w:t>
      </w:r>
    </w:p>
    <w:p w14:paraId="776AA028" w14:textId="77777777" w:rsidR="003121CC" w:rsidRPr="00503A01" w:rsidRDefault="003121CC" w:rsidP="00184738">
      <w:pPr>
        <w:spacing w:after="0" w:line="240" w:lineRule="auto"/>
        <w:jc w:val="both"/>
        <w:rPr>
          <w:rFonts w:ascii="Times New Roman" w:hAnsi="Times New Roman" w:cs="Times New Roman"/>
          <w:b/>
          <w:bCs/>
          <w:sz w:val="24"/>
          <w:szCs w:val="24"/>
        </w:rPr>
      </w:pPr>
    </w:p>
    <w:p w14:paraId="4EAA6F47" w14:textId="07BD2E03" w:rsidR="00184738" w:rsidRPr="00503A01" w:rsidRDefault="00184738" w:rsidP="00F9402C">
      <w:pPr>
        <w:spacing w:after="0" w:line="240" w:lineRule="auto"/>
        <w:ind w:left="1843" w:hanging="1843"/>
        <w:jc w:val="both"/>
        <w:rPr>
          <w:rFonts w:ascii="Times New Roman" w:hAnsi="Times New Roman" w:cs="Times New Roman"/>
          <w:smallCaps/>
          <w:sz w:val="24"/>
          <w:szCs w:val="24"/>
        </w:rPr>
      </w:pPr>
      <w:r w:rsidRPr="00503A01">
        <w:rPr>
          <w:rFonts w:ascii="Times New Roman" w:hAnsi="Times New Roman" w:cs="Times New Roman"/>
          <w:bCs/>
          <w:smallCaps/>
          <w:sz w:val="24"/>
          <w:szCs w:val="24"/>
        </w:rPr>
        <w:t>Drejtuar:</w:t>
      </w:r>
      <w:r w:rsidR="003121CC" w:rsidRPr="00503A01">
        <w:rPr>
          <w:rFonts w:ascii="Times New Roman" w:hAnsi="Times New Roman" w:cs="Times New Roman"/>
          <w:smallCaps/>
          <w:sz w:val="24"/>
          <w:szCs w:val="24"/>
        </w:rPr>
        <w:tab/>
      </w:r>
      <w:r w:rsidRPr="00503A01">
        <w:rPr>
          <w:rFonts w:ascii="Times New Roman" w:hAnsi="Times New Roman" w:cs="Times New Roman"/>
          <w:sz w:val="24"/>
          <w:szCs w:val="24"/>
        </w:rPr>
        <w:t>PROKURORISË SË POSAÇME KUNDËR KORRUPSIONIT DHE KRIMIT TË ORGANIZUAR</w:t>
      </w:r>
    </w:p>
    <w:p w14:paraId="036E808D" w14:textId="7395DC0F" w:rsidR="00184738" w:rsidRPr="00503A01" w:rsidRDefault="00184738" w:rsidP="00184738">
      <w:p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lastRenderedPageBreak/>
        <w:t xml:space="preserve">I nderuar </w:t>
      </w:r>
      <w:r w:rsidR="00684BC3" w:rsidRPr="00503A01">
        <w:rPr>
          <w:rFonts w:ascii="Times New Roman" w:hAnsi="Times New Roman" w:cs="Times New Roman"/>
          <w:bCs/>
          <w:sz w:val="24"/>
          <w:szCs w:val="24"/>
        </w:rPr>
        <w:t xml:space="preserve">Z. </w:t>
      </w:r>
      <w:r w:rsidRPr="00503A01">
        <w:rPr>
          <w:rFonts w:ascii="Times New Roman" w:hAnsi="Times New Roman" w:cs="Times New Roman"/>
          <w:bCs/>
          <w:sz w:val="24"/>
          <w:szCs w:val="24"/>
        </w:rPr>
        <w:t>Drejtues i Prokurorisë</w:t>
      </w:r>
      <w:r w:rsidR="00684BC3" w:rsidRPr="00503A01">
        <w:rPr>
          <w:rFonts w:ascii="Times New Roman" w:hAnsi="Times New Roman" w:cs="Times New Roman"/>
          <w:bCs/>
          <w:sz w:val="24"/>
          <w:szCs w:val="24"/>
        </w:rPr>
        <w:t xml:space="preserve"> s</w:t>
      </w:r>
      <w:r w:rsidR="00117C24" w:rsidRPr="00503A01">
        <w:rPr>
          <w:rFonts w:ascii="Times New Roman" w:hAnsi="Times New Roman" w:cs="Times New Roman"/>
          <w:bCs/>
          <w:sz w:val="24"/>
          <w:szCs w:val="24"/>
        </w:rPr>
        <w:t>ë</w:t>
      </w:r>
      <w:r w:rsidR="00684BC3" w:rsidRPr="00503A01">
        <w:rPr>
          <w:rFonts w:ascii="Times New Roman" w:hAnsi="Times New Roman" w:cs="Times New Roman"/>
          <w:bCs/>
          <w:sz w:val="24"/>
          <w:szCs w:val="24"/>
        </w:rPr>
        <w:t xml:space="preserve"> Posaçme</w:t>
      </w:r>
      <w:r w:rsidRPr="00503A01">
        <w:rPr>
          <w:rFonts w:ascii="Times New Roman" w:hAnsi="Times New Roman" w:cs="Times New Roman"/>
          <w:bCs/>
          <w:sz w:val="24"/>
          <w:szCs w:val="24"/>
        </w:rPr>
        <w:t>,</w:t>
      </w:r>
    </w:p>
    <w:p w14:paraId="64F75529" w14:textId="77777777" w:rsidR="00684BC3" w:rsidRPr="00503A01" w:rsidRDefault="00684BC3" w:rsidP="00184738">
      <w:pPr>
        <w:spacing w:after="0" w:line="240" w:lineRule="auto"/>
        <w:jc w:val="both"/>
        <w:rPr>
          <w:rFonts w:ascii="Times New Roman" w:hAnsi="Times New Roman" w:cs="Times New Roman"/>
          <w:sz w:val="24"/>
          <w:szCs w:val="24"/>
        </w:rPr>
      </w:pPr>
    </w:p>
    <w:p w14:paraId="27A782C4" w14:textId="689DB7B5"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Qendra Res Publica, në kuadër të veprimtarisë së saj për mbrojtjen e të drejtave dhe lirive themelore të njeriut, paraqet këtë kallëzim penal lidhur me dyshimet për ekzistencën e një mekanizmi të organizuar brenda strukturave të Policisë së Shtetit, që mund të ketë për qëllim </w:t>
      </w:r>
      <w:r w:rsidR="005B79B4" w:rsidRPr="00503A01">
        <w:rPr>
          <w:rFonts w:ascii="Times New Roman" w:hAnsi="Times New Roman" w:cs="Times New Roman"/>
          <w:sz w:val="24"/>
          <w:szCs w:val="24"/>
        </w:rPr>
        <w:t xml:space="preserve">për të organizuar një fushatë të mirëfilltë terrori dhe intimidimi, për </w:t>
      </w:r>
      <w:r w:rsidRPr="00503A01">
        <w:rPr>
          <w:rFonts w:ascii="Times New Roman" w:hAnsi="Times New Roman" w:cs="Times New Roman"/>
          <w:b/>
          <w:bCs/>
          <w:i/>
          <w:sz w:val="24"/>
          <w:szCs w:val="24"/>
        </w:rPr>
        <w:t>pengimin, frikësimin dhe shtypjen e protestave përmes përdorimit të kundërligjshëm të forcës dhe veprimeve të tjera potencialisht kriminale, duke krijuar njëkohësisht, në mënyrë të qëllimshme, kushtet për mosidentifikimin, mos hetimin dhe pandëshkueshmërinë e autorëve të këtyre veprave.</w:t>
      </w:r>
    </w:p>
    <w:p w14:paraId="5976A38B" w14:textId="77777777" w:rsidR="00E04054" w:rsidRPr="00503A01" w:rsidRDefault="00E04054" w:rsidP="00021EA7">
      <w:pPr>
        <w:spacing w:after="0" w:line="240" w:lineRule="auto"/>
        <w:jc w:val="both"/>
        <w:rPr>
          <w:rFonts w:ascii="Times New Roman" w:hAnsi="Times New Roman" w:cs="Times New Roman"/>
          <w:sz w:val="24"/>
          <w:szCs w:val="24"/>
        </w:rPr>
      </w:pPr>
    </w:p>
    <w:p w14:paraId="520B4DE2" w14:textId="62BF218A" w:rsidR="00B046C4" w:rsidRPr="00503A01" w:rsidRDefault="004328C2"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Prej datës 31.05.2026, në Tiranë dhe në qytete të tjera të Shqipërisë është zhvilluar një lëvizje protestuese e vazhdueshme, fillimisht e lidhur me mbrojtjen e zonës Pishë Poro–Nartë dhe kundërshtimin e projekteve të zhvillimit në zona të mbrojtura, së cilës iu bashkuan gradualisht kërkesa të tjera qytetare, shoqërore dhe politike. </w:t>
      </w:r>
    </w:p>
    <w:p w14:paraId="20ACD7FC" w14:textId="77777777" w:rsidR="00B046C4" w:rsidRPr="00503A01" w:rsidRDefault="00B046C4" w:rsidP="00021EA7">
      <w:pPr>
        <w:spacing w:after="0" w:line="240" w:lineRule="auto"/>
        <w:jc w:val="both"/>
        <w:rPr>
          <w:rFonts w:ascii="Times New Roman" w:hAnsi="Times New Roman" w:cs="Times New Roman"/>
          <w:sz w:val="24"/>
          <w:szCs w:val="24"/>
        </w:rPr>
      </w:pPr>
    </w:p>
    <w:p w14:paraId="60506D20" w14:textId="7BB8EC98" w:rsidR="00021EA7" w:rsidRPr="00503A01" w:rsidRDefault="004328C2"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Kjo lëvizje, e dokumentuar për karakterin e saj fillimisht paqësor, ka vijuar për </w:t>
      </w:r>
      <w:r w:rsidR="00BB1A4D" w:rsidRPr="00503A01">
        <w:rPr>
          <w:rFonts w:ascii="Times New Roman" w:hAnsi="Times New Roman" w:cs="Times New Roman"/>
          <w:sz w:val="24"/>
          <w:szCs w:val="24"/>
        </w:rPr>
        <w:t>mbi kat</w:t>
      </w:r>
      <w:r w:rsidR="00117C24" w:rsidRPr="00503A01">
        <w:rPr>
          <w:rFonts w:ascii="Times New Roman" w:hAnsi="Times New Roman" w:cs="Times New Roman"/>
          <w:sz w:val="24"/>
          <w:szCs w:val="24"/>
        </w:rPr>
        <w:t>ë</w:t>
      </w:r>
      <w:r w:rsidR="00BB1A4D" w:rsidRPr="00503A01">
        <w:rPr>
          <w:rFonts w:ascii="Times New Roman" w:hAnsi="Times New Roman" w:cs="Times New Roman"/>
          <w:sz w:val="24"/>
          <w:szCs w:val="24"/>
        </w:rPr>
        <w:t>r</w:t>
      </w:r>
      <w:r w:rsidRPr="00503A01">
        <w:rPr>
          <w:rFonts w:ascii="Times New Roman" w:hAnsi="Times New Roman" w:cs="Times New Roman"/>
          <w:sz w:val="24"/>
          <w:szCs w:val="24"/>
        </w:rPr>
        <w:t xml:space="preserve"> muaj, duke hyrë në një fazë të re dhe më intensive prej datës 13.10.2026, me përfshirjen masive të studentëve dhe gjimnazistëve. Gjatë kësaj faze janë dokumentuar dhe denoncuar episode të shumta të përdorimit të pretenduar të paligjshëm ose joproporcional të forcës, kufizimit arbitrar të lirisë, cenimit të integritetit fizik dhe psikik, keqtrajtimit të personave të shoqëruar, shkeljeve ndaj të miturve, pengimit të tubimeve dhe të veprimtarisë së gazetarëve, si dhe veprime e mosveprime të tjera potencialisht kriminale.</w:t>
      </w:r>
      <w:r w:rsidR="00A10323" w:rsidRPr="00503A01">
        <w:rPr>
          <w:rFonts w:ascii="Times New Roman" w:hAnsi="Times New Roman" w:cs="Times New Roman"/>
          <w:sz w:val="24"/>
          <w:szCs w:val="24"/>
        </w:rPr>
        <w:t xml:space="preserve"> </w:t>
      </w:r>
      <w:r w:rsidR="00021EA7" w:rsidRPr="00503A01">
        <w:rPr>
          <w:rFonts w:ascii="Times New Roman" w:hAnsi="Times New Roman" w:cs="Times New Roman"/>
          <w:sz w:val="24"/>
          <w:szCs w:val="24"/>
        </w:rPr>
        <w:t>Këto fakte ngrenë dyshime për kryerjen e nj</w:t>
      </w:r>
      <w:r w:rsidR="00117C24" w:rsidRPr="00503A01">
        <w:rPr>
          <w:rFonts w:ascii="Times New Roman" w:hAnsi="Times New Roman" w:cs="Times New Roman"/>
          <w:sz w:val="24"/>
          <w:szCs w:val="24"/>
        </w:rPr>
        <w:t>ë</w:t>
      </w:r>
      <w:r w:rsidR="00021EA7" w:rsidRPr="00503A01">
        <w:rPr>
          <w:rFonts w:ascii="Times New Roman" w:hAnsi="Times New Roman" w:cs="Times New Roman"/>
          <w:sz w:val="24"/>
          <w:szCs w:val="24"/>
        </w:rPr>
        <w:t xml:space="preserve"> numri t</w:t>
      </w:r>
      <w:r w:rsidR="00117C24" w:rsidRPr="00503A01">
        <w:rPr>
          <w:rFonts w:ascii="Times New Roman" w:hAnsi="Times New Roman" w:cs="Times New Roman"/>
          <w:sz w:val="24"/>
          <w:szCs w:val="24"/>
        </w:rPr>
        <w:t>ë</w:t>
      </w:r>
      <w:r w:rsidR="00021EA7" w:rsidRPr="00503A01">
        <w:rPr>
          <w:rFonts w:ascii="Times New Roman" w:hAnsi="Times New Roman" w:cs="Times New Roman"/>
          <w:sz w:val="24"/>
          <w:szCs w:val="24"/>
        </w:rPr>
        <w:t xml:space="preserve"> madhe veprash penale, t</w:t>
      </w:r>
      <w:r w:rsidR="00117C24" w:rsidRPr="00503A01">
        <w:rPr>
          <w:rFonts w:ascii="Times New Roman" w:hAnsi="Times New Roman" w:cs="Times New Roman"/>
          <w:sz w:val="24"/>
          <w:szCs w:val="24"/>
        </w:rPr>
        <w:t>ë</w:t>
      </w:r>
      <w:r w:rsidR="00021EA7" w:rsidRPr="00503A01">
        <w:rPr>
          <w:rFonts w:ascii="Times New Roman" w:hAnsi="Times New Roman" w:cs="Times New Roman"/>
          <w:sz w:val="24"/>
          <w:szCs w:val="24"/>
        </w:rPr>
        <w:t xml:space="preserve"> pakt</w:t>
      </w:r>
      <w:r w:rsidR="00117C24" w:rsidRPr="00503A01">
        <w:rPr>
          <w:rFonts w:ascii="Times New Roman" w:hAnsi="Times New Roman" w:cs="Times New Roman"/>
          <w:sz w:val="24"/>
          <w:szCs w:val="24"/>
        </w:rPr>
        <w:t>ë</w:t>
      </w:r>
      <w:r w:rsidR="00021EA7" w:rsidRPr="00503A01">
        <w:rPr>
          <w:rFonts w:ascii="Times New Roman" w:hAnsi="Times New Roman" w:cs="Times New Roman"/>
          <w:sz w:val="24"/>
          <w:szCs w:val="24"/>
        </w:rPr>
        <w:t xml:space="preserve">n ato të parashikuara nga nenet </w:t>
      </w:r>
      <w:r w:rsidR="000F40DA" w:rsidRPr="00503A01">
        <w:rPr>
          <w:rFonts w:ascii="Times New Roman" w:hAnsi="Times New Roman" w:cs="Times New Roman"/>
          <w:sz w:val="24"/>
          <w:szCs w:val="24"/>
        </w:rPr>
        <w:t xml:space="preserve">76, lidhur me nenin 22, </w:t>
      </w:r>
      <w:r w:rsidR="00021EA7" w:rsidRPr="00503A01">
        <w:rPr>
          <w:rFonts w:ascii="Times New Roman" w:hAnsi="Times New Roman" w:cs="Times New Roman"/>
          <w:sz w:val="24"/>
          <w:szCs w:val="24"/>
        </w:rPr>
        <w:t>86, 87, 88, 89, 110, 248, 250, 251 dhe 261 të Kodit Penal.</w:t>
      </w:r>
      <w:r w:rsidR="000F40DA" w:rsidRPr="00503A01">
        <w:rPr>
          <w:rFonts w:ascii="Times New Roman" w:hAnsi="Times New Roman" w:cs="Times New Roman"/>
          <w:sz w:val="24"/>
          <w:szCs w:val="24"/>
        </w:rPr>
        <w:t xml:space="preserve"> </w:t>
      </w:r>
      <w:r w:rsidR="000F40DA" w:rsidRPr="00503A01">
        <w:rPr>
          <w:rFonts w:ascii="Times New Roman" w:hAnsi="Times New Roman" w:cs="Times New Roman"/>
          <w:sz w:val="24"/>
          <w:szCs w:val="24"/>
        </w:rPr>
        <w:t xml:space="preserve">Për episodet e përdorimit të predhave kinetike kërkohet edhe verifikimi i elementeve të tentativës së vrasjes, sipas analizës </w:t>
      </w:r>
      <w:r w:rsidR="00A40AF5" w:rsidRPr="00503A01">
        <w:rPr>
          <w:rFonts w:ascii="Times New Roman" w:hAnsi="Times New Roman" w:cs="Times New Roman"/>
          <w:sz w:val="24"/>
          <w:szCs w:val="24"/>
        </w:rPr>
        <w:t>n</w:t>
      </w:r>
      <w:r w:rsidR="000F40DA" w:rsidRPr="00503A01">
        <w:rPr>
          <w:rFonts w:ascii="Times New Roman" w:hAnsi="Times New Roman" w:cs="Times New Roman"/>
          <w:sz w:val="24"/>
          <w:szCs w:val="24"/>
        </w:rPr>
        <w:t>ë pjesë</w:t>
      </w:r>
      <w:r w:rsidR="00A40AF5" w:rsidRPr="00503A01">
        <w:rPr>
          <w:rFonts w:ascii="Times New Roman" w:hAnsi="Times New Roman" w:cs="Times New Roman"/>
          <w:sz w:val="24"/>
          <w:szCs w:val="24"/>
        </w:rPr>
        <w:t>n</w:t>
      </w:r>
      <w:r w:rsidR="000F40DA" w:rsidRPr="00503A01">
        <w:rPr>
          <w:rFonts w:ascii="Times New Roman" w:hAnsi="Times New Roman" w:cs="Times New Roman"/>
          <w:sz w:val="24"/>
          <w:szCs w:val="24"/>
        </w:rPr>
        <w:t xml:space="preserve"> VI.3</w:t>
      </w:r>
      <w:r w:rsidR="00A40AF5" w:rsidRPr="00503A01">
        <w:rPr>
          <w:rFonts w:ascii="Times New Roman" w:hAnsi="Times New Roman" w:cs="Times New Roman"/>
          <w:sz w:val="24"/>
          <w:szCs w:val="24"/>
        </w:rPr>
        <w:t xml:space="preserve"> t</w:t>
      </w:r>
      <w:r w:rsidR="005B79B4" w:rsidRPr="00503A01">
        <w:rPr>
          <w:rFonts w:ascii="Times New Roman" w:hAnsi="Times New Roman" w:cs="Times New Roman"/>
          <w:sz w:val="24"/>
          <w:szCs w:val="24"/>
        </w:rPr>
        <w:t>ë</w:t>
      </w:r>
      <w:r w:rsidR="00A40AF5" w:rsidRPr="00503A01">
        <w:rPr>
          <w:rFonts w:ascii="Times New Roman" w:hAnsi="Times New Roman" w:cs="Times New Roman"/>
          <w:sz w:val="24"/>
          <w:szCs w:val="24"/>
        </w:rPr>
        <w:t xml:space="preserve"> k</w:t>
      </w:r>
      <w:r w:rsidR="005B79B4" w:rsidRPr="00503A01">
        <w:rPr>
          <w:rFonts w:ascii="Times New Roman" w:hAnsi="Times New Roman" w:cs="Times New Roman"/>
          <w:sz w:val="24"/>
          <w:szCs w:val="24"/>
        </w:rPr>
        <w:t>ë</w:t>
      </w:r>
      <w:r w:rsidR="00A40AF5" w:rsidRPr="00503A01">
        <w:rPr>
          <w:rFonts w:ascii="Times New Roman" w:hAnsi="Times New Roman" w:cs="Times New Roman"/>
          <w:sz w:val="24"/>
          <w:szCs w:val="24"/>
        </w:rPr>
        <w:t>tij kall</w:t>
      </w:r>
      <w:r w:rsidR="005B79B4" w:rsidRPr="00503A01">
        <w:rPr>
          <w:rFonts w:ascii="Times New Roman" w:hAnsi="Times New Roman" w:cs="Times New Roman"/>
          <w:sz w:val="24"/>
          <w:szCs w:val="24"/>
        </w:rPr>
        <w:t>ë</w:t>
      </w:r>
      <w:r w:rsidR="00A40AF5" w:rsidRPr="00503A01">
        <w:rPr>
          <w:rFonts w:ascii="Times New Roman" w:hAnsi="Times New Roman" w:cs="Times New Roman"/>
          <w:sz w:val="24"/>
          <w:szCs w:val="24"/>
        </w:rPr>
        <w:t>zimi</w:t>
      </w:r>
      <w:r w:rsidR="000F40DA" w:rsidRPr="00503A01">
        <w:rPr>
          <w:rFonts w:ascii="Times New Roman" w:hAnsi="Times New Roman" w:cs="Times New Roman"/>
          <w:sz w:val="24"/>
          <w:szCs w:val="24"/>
        </w:rPr>
        <w:t>.</w:t>
      </w:r>
    </w:p>
    <w:p w14:paraId="6EBEBBD3" w14:textId="77777777" w:rsidR="00021EA7" w:rsidRPr="00503A01" w:rsidRDefault="00021EA7" w:rsidP="00021EA7">
      <w:pPr>
        <w:spacing w:after="0" w:line="240" w:lineRule="auto"/>
        <w:jc w:val="both"/>
        <w:rPr>
          <w:rFonts w:ascii="Times New Roman" w:hAnsi="Times New Roman" w:cs="Times New Roman"/>
          <w:b/>
          <w:bCs/>
          <w:sz w:val="24"/>
          <w:szCs w:val="24"/>
        </w:rPr>
      </w:pPr>
    </w:p>
    <w:p w14:paraId="08773FE4" w14:textId="700E46CB"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Objekti kryesor i këtij kallëzimi nuk kufizohet te përgjegjësia penale individuale e punonjësve që kanë kryer secilin prej këtyre veprimeve</w:t>
      </w:r>
      <w:r w:rsidRPr="00503A01">
        <w:rPr>
          <w:rFonts w:ascii="Times New Roman" w:hAnsi="Times New Roman" w:cs="Times New Roman"/>
          <w:i/>
          <w:sz w:val="24"/>
          <w:szCs w:val="24"/>
        </w:rPr>
        <w:t>,</w:t>
      </w:r>
      <w:r w:rsidRPr="00503A01">
        <w:rPr>
          <w:rFonts w:ascii="Times New Roman" w:hAnsi="Times New Roman" w:cs="Times New Roman"/>
          <w:sz w:val="24"/>
          <w:szCs w:val="24"/>
        </w:rPr>
        <w:t xml:space="preserve"> për të cilat janë paraqitur ose mund të paraqiten në vijim kallëzime të veçanta. Ai synon hetimin e përgjegjësisë së mundshme penale të drejtuesve që kanë organizuar, urdhëruar, nxitur, lejuar ose mbështetur me vetëdije një mënyrë veprimi policor që mund të ketë pasur për qëllim shtypjen e protestave, përmes kryerjes së veprave penale nga efektivët në terren. Njëkohësisht, kallëzimi synon të hetojë nëse këta drejtues kanë krijuar ose ruajtur qëllimisht kushtet që lehtësojnë kryerjen e veprave të tilla dhe pengojnë identifikimin dhe ndjekjen penale të autorëve.</w:t>
      </w:r>
    </w:p>
    <w:p w14:paraId="4522750B" w14:textId="77777777" w:rsidR="00021EA7" w:rsidRPr="00503A01" w:rsidRDefault="00021EA7" w:rsidP="00021EA7">
      <w:pPr>
        <w:spacing w:after="0" w:line="240" w:lineRule="auto"/>
        <w:jc w:val="both"/>
        <w:rPr>
          <w:rFonts w:ascii="Times New Roman" w:hAnsi="Times New Roman" w:cs="Times New Roman"/>
          <w:sz w:val="24"/>
          <w:szCs w:val="24"/>
        </w:rPr>
      </w:pPr>
    </w:p>
    <w:p w14:paraId="61DACA72" w14:textId="4E62F373"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Në këtë kuptim, kërkohet të hetohet nëse veprimet e denoncuara janë tejkalime individuale dhe të izoluara të punonjësve të policisë, apo shfaqje të një praktike të organizuar, të urdhëruar ose të toleruar me vetëdije nga zinxhiri drejtues, në funksion të një objektivi të përbashkët: </w:t>
      </w:r>
      <w:r w:rsidRPr="00503A01">
        <w:rPr>
          <w:rFonts w:ascii="Times New Roman" w:hAnsi="Times New Roman" w:cs="Times New Roman"/>
          <w:b/>
          <w:bCs/>
          <w:i/>
          <w:sz w:val="24"/>
          <w:szCs w:val="24"/>
        </w:rPr>
        <w:t>dekurajimin e pjesëmarrjes në protesta, frikësimin e qytetarëve dhe pengimin e ushtrimit të lirive të tyre kushtetuese, përmes përdorimit të dhunës dhe masave të tjera të kundërligjshme, duke u siguruar njëkohësisht autorëve materialë mundësinë për t'iu shmangur përgjegjësisë penale.</w:t>
      </w:r>
    </w:p>
    <w:p w14:paraId="19BCC34A" w14:textId="77777777" w:rsidR="00021EA7" w:rsidRPr="00503A01" w:rsidRDefault="00021EA7" w:rsidP="00021EA7">
      <w:pPr>
        <w:spacing w:after="0" w:line="240" w:lineRule="auto"/>
        <w:jc w:val="both"/>
        <w:rPr>
          <w:rFonts w:ascii="Times New Roman" w:hAnsi="Times New Roman" w:cs="Times New Roman"/>
          <w:sz w:val="24"/>
          <w:szCs w:val="24"/>
        </w:rPr>
      </w:pPr>
    </w:p>
    <w:p w14:paraId="21954F3B" w14:textId="55F100E9"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Dy praktika të përsëritura paraqesin rëndësi të veçantë për këtë qëllim:</w:t>
      </w:r>
    </w:p>
    <w:p w14:paraId="780D5FC6" w14:textId="6B77F837" w:rsidR="00021EA7" w:rsidRPr="00503A01" w:rsidRDefault="00021EA7" w:rsidP="00FE0A0F">
      <w:pPr>
        <w:numPr>
          <w:ilvl w:val="0"/>
          <w:numId w:val="35"/>
        </w:num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E para është </w:t>
      </w:r>
      <w:r w:rsidRPr="00503A01">
        <w:rPr>
          <w:rFonts w:ascii="Times New Roman" w:hAnsi="Times New Roman" w:cs="Times New Roman"/>
          <w:b/>
          <w:bCs/>
          <w:i/>
          <w:sz w:val="24"/>
          <w:szCs w:val="24"/>
        </w:rPr>
        <w:t>dislokimi i përsëritur i efektivëve me fytyra të mbuluara, me maska, kapuça dhe skafandra, pa shenja individuale identifikimi të dukshme</w:t>
      </w:r>
      <w:r w:rsidRPr="00503A01">
        <w:rPr>
          <w:rFonts w:ascii="Times New Roman" w:hAnsi="Times New Roman" w:cs="Times New Roman"/>
          <w:sz w:val="24"/>
          <w:szCs w:val="24"/>
        </w:rPr>
        <w:t>,</w:t>
      </w:r>
      <w:r w:rsidR="00FB047E" w:rsidRPr="00503A01">
        <w:rPr>
          <w:rFonts w:ascii="Times New Roman" w:hAnsi="Times New Roman" w:cs="Times New Roman"/>
          <w:sz w:val="24"/>
          <w:szCs w:val="24"/>
        </w:rPr>
        <w:t xml:space="preserve"> </w:t>
      </w:r>
      <w:r w:rsidR="00FB047E" w:rsidRPr="00503A01">
        <w:rPr>
          <w:rFonts w:ascii="Times New Roman" w:hAnsi="Times New Roman" w:cs="Times New Roman"/>
          <w:b/>
          <w:i/>
          <w:sz w:val="24"/>
          <w:szCs w:val="24"/>
        </w:rPr>
        <w:t>t</w:t>
      </w:r>
      <w:r w:rsidR="00F11591" w:rsidRPr="00503A01">
        <w:rPr>
          <w:rFonts w:ascii="Times New Roman" w:hAnsi="Times New Roman" w:cs="Times New Roman"/>
          <w:b/>
          <w:i/>
          <w:sz w:val="24"/>
          <w:szCs w:val="24"/>
        </w:rPr>
        <w:t>ë</w:t>
      </w:r>
      <w:r w:rsidR="00FB047E" w:rsidRPr="00503A01">
        <w:rPr>
          <w:rFonts w:ascii="Times New Roman" w:hAnsi="Times New Roman" w:cs="Times New Roman"/>
          <w:b/>
          <w:i/>
          <w:sz w:val="24"/>
          <w:szCs w:val="24"/>
        </w:rPr>
        <w:t xml:space="preserve"> cil</w:t>
      </w:r>
      <w:r w:rsidR="00F11591" w:rsidRPr="00503A01">
        <w:rPr>
          <w:rFonts w:ascii="Times New Roman" w:hAnsi="Times New Roman" w:cs="Times New Roman"/>
          <w:b/>
          <w:i/>
          <w:sz w:val="24"/>
          <w:szCs w:val="24"/>
        </w:rPr>
        <w:t>ë</w:t>
      </w:r>
      <w:r w:rsidR="00FB047E" w:rsidRPr="00503A01">
        <w:rPr>
          <w:rFonts w:ascii="Times New Roman" w:hAnsi="Times New Roman" w:cs="Times New Roman"/>
          <w:b/>
          <w:i/>
          <w:sz w:val="24"/>
          <w:szCs w:val="24"/>
        </w:rPr>
        <w:t>t kan</w:t>
      </w:r>
      <w:r w:rsidR="00F11591" w:rsidRPr="00503A01">
        <w:rPr>
          <w:rFonts w:ascii="Times New Roman" w:hAnsi="Times New Roman" w:cs="Times New Roman"/>
          <w:b/>
          <w:i/>
          <w:sz w:val="24"/>
          <w:szCs w:val="24"/>
        </w:rPr>
        <w:t>ë</w:t>
      </w:r>
      <w:r w:rsidR="00FB047E" w:rsidRPr="00503A01">
        <w:rPr>
          <w:rFonts w:ascii="Times New Roman" w:hAnsi="Times New Roman" w:cs="Times New Roman"/>
          <w:b/>
          <w:i/>
          <w:sz w:val="24"/>
          <w:szCs w:val="24"/>
        </w:rPr>
        <w:t xml:space="preserve"> kryer veprime t</w:t>
      </w:r>
      <w:r w:rsidR="00F11591" w:rsidRPr="00503A01">
        <w:rPr>
          <w:rFonts w:ascii="Times New Roman" w:hAnsi="Times New Roman" w:cs="Times New Roman"/>
          <w:b/>
          <w:i/>
          <w:sz w:val="24"/>
          <w:szCs w:val="24"/>
        </w:rPr>
        <w:t>ë</w:t>
      </w:r>
      <w:r w:rsidR="00FB047E" w:rsidRPr="00503A01">
        <w:rPr>
          <w:rFonts w:ascii="Times New Roman" w:hAnsi="Times New Roman" w:cs="Times New Roman"/>
          <w:b/>
          <w:i/>
          <w:sz w:val="24"/>
          <w:szCs w:val="24"/>
        </w:rPr>
        <w:t xml:space="preserve"> dhunshme</w:t>
      </w:r>
      <w:r w:rsidR="00E96A7F" w:rsidRPr="00503A01">
        <w:rPr>
          <w:rFonts w:ascii="Times New Roman" w:hAnsi="Times New Roman" w:cs="Times New Roman"/>
          <w:b/>
          <w:i/>
          <w:sz w:val="24"/>
          <w:szCs w:val="24"/>
        </w:rPr>
        <w:t>, ose përdorur armë kinetike</w:t>
      </w:r>
      <w:r w:rsidR="00FB047E" w:rsidRPr="00503A01">
        <w:rPr>
          <w:rFonts w:ascii="Times New Roman" w:hAnsi="Times New Roman" w:cs="Times New Roman"/>
          <w:sz w:val="24"/>
          <w:szCs w:val="24"/>
        </w:rPr>
        <w:t>,</w:t>
      </w:r>
      <w:r w:rsidRPr="00503A01">
        <w:rPr>
          <w:rFonts w:ascii="Times New Roman" w:hAnsi="Times New Roman" w:cs="Times New Roman"/>
          <w:sz w:val="24"/>
          <w:szCs w:val="24"/>
        </w:rPr>
        <w:t xml:space="preserve"> në rrethana kur viktimat dhe dëshmitarët e kanë praktikisht të pamundur të identifikojnë autorin e një veprimi të paligjshëm. Kjo praktikë, nëse rezulton e qëllimshme, jo vetëm pengon hetimin e </w:t>
      </w:r>
      <w:r w:rsidRPr="00503A01">
        <w:rPr>
          <w:rFonts w:ascii="Times New Roman" w:hAnsi="Times New Roman" w:cs="Times New Roman"/>
          <w:sz w:val="24"/>
          <w:szCs w:val="24"/>
        </w:rPr>
        <w:lastRenderedPageBreak/>
        <w:t>mëvonshëm, por mund të shërbejë edhe si mjet paraprak për lehtësimin e kryerjes së veprave penale, duke krijuar te efektivët bindjen se dhuna dhe veprimet e tjera të kundërligjshme mund të kryhen pa rrezikun real të identifikimit dhe ndëshkimit individual.</w:t>
      </w:r>
    </w:p>
    <w:p w14:paraId="34202ADD" w14:textId="77777777" w:rsidR="00021EA7" w:rsidRPr="00503A01" w:rsidRDefault="00021EA7" w:rsidP="00FE0A0F">
      <w:pPr>
        <w:numPr>
          <w:ilvl w:val="0"/>
          <w:numId w:val="35"/>
        </w:num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E dyta është </w:t>
      </w:r>
      <w:r w:rsidRPr="00503A01">
        <w:rPr>
          <w:rFonts w:ascii="Times New Roman" w:hAnsi="Times New Roman" w:cs="Times New Roman"/>
          <w:b/>
          <w:bCs/>
          <w:i/>
          <w:sz w:val="24"/>
          <w:szCs w:val="24"/>
        </w:rPr>
        <w:t>pengimi i gazetarëve dhe qytetarëve që dokumentojnë ndërhyrjet policore</w:t>
      </w:r>
      <w:r w:rsidRPr="00503A01">
        <w:rPr>
          <w:rFonts w:ascii="Times New Roman" w:hAnsi="Times New Roman" w:cs="Times New Roman"/>
          <w:sz w:val="24"/>
          <w:szCs w:val="24"/>
        </w:rPr>
        <w:t>, përmes largimit të tyre nga vendngjarjet, kufizimeve të pajustifikuara të filmimit, përdorimit eventualisht abuziv të perimetrave të sigurisë, ndërhyrjeve me dhunë fizike, përdorimit të sprajit lotsjellës, si dhe sjelljeve e komunikimeve intimiduese. Këto veprime, përveçse mund të përbëjnë shkelje të mëvetësishme, mund të shërbejnë edhe për të penguar krijimin dhe ruajtjen e provave për veprat penale të kryera nga efektivët.</w:t>
      </w:r>
    </w:p>
    <w:p w14:paraId="0837BFFD" w14:textId="77777777" w:rsidR="00021EA7" w:rsidRPr="00503A01" w:rsidRDefault="00021EA7" w:rsidP="00021EA7">
      <w:pPr>
        <w:spacing w:after="0" w:line="240" w:lineRule="auto"/>
        <w:jc w:val="both"/>
        <w:rPr>
          <w:rFonts w:ascii="Times New Roman" w:hAnsi="Times New Roman" w:cs="Times New Roman"/>
          <w:sz w:val="24"/>
          <w:szCs w:val="24"/>
        </w:rPr>
      </w:pPr>
    </w:p>
    <w:p w14:paraId="5119248B" w14:textId="5DCCEEDA"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Këto praktika, nëse rezultojnë të qëllimshme dhe të koordinuara, nuk përbëjnë thjesht shkelje disiplinore të veçuara. Ato mund të përbëjnë </w:t>
      </w:r>
      <w:r w:rsidRPr="00503A01">
        <w:rPr>
          <w:rFonts w:ascii="Times New Roman" w:hAnsi="Times New Roman" w:cs="Times New Roman"/>
          <w:b/>
          <w:bCs/>
          <w:i/>
          <w:sz w:val="24"/>
          <w:szCs w:val="24"/>
        </w:rPr>
        <w:t>dy komponentë plotësues të një mekanizmi të përbashkët, që mundëson kryerjen e veprave penale duke zvogëluar rrezikun e zbulimit dhe ndëshkimit të autorëve</w:t>
      </w:r>
      <w:r w:rsidRPr="00503A01">
        <w:rPr>
          <w:rFonts w:ascii="Times New Roman" w:hAnsi="Times New Roman" w:cs="Times New Roman"/>
          <w:sz w:val="24"/>
          <w:szCs w:val="24"/>
        </w:rPr>
        <w:t>. Në këtë mënyrë, mosidentifikimi i efektivëve dhe pengimi i dokumentimit të veprimeve të tyre nuk janë domosdoshmërisht vetëm pasoja të organizimit të mangët policor, por mund të jenë mjete të krijuara ose të toleruara paraprakisht për të lehtësuar përdorimin e dhunës dhe të veprimeve të tjera të kundërligjshme në funksion të shtypjes së protestave.</w:t>
      </w:r>
    </w:p>
    <w:p w14:paraId="41932730" w14:textId="77777777" w:rsidR="00021EA7" w:rsidRPr="00503A01" w:rsidRDefault="00021EA7" w:rsidP="00021EA7">
      <w:pPr>
        <w:spacing w:after="0" w:line="240" w:lineRule="auto"/>
        <w:jc w:val="both"/>
        <w:rPr>
          <w:rFonts w:ascii="Times New Roman" w:hAnsi="Times New Roman" w:cs="Times New Roman"/>
          <w:sz w:val="24"/>
          <w:szCs w:val="24"/>
        </w:rPr>
      </w:pPr>
    </w:p>
    <w:p w14:paraId="4C9BD48B" w14:textId="19F405E7"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Dyshimi për karakterin e organizuar të këtij mekanizmi përforcohet nga përsëritja e praktikave të denoncuara gjatë disa ditëve, përfshirja e strukturave të ndryshme policore, shtrirja e pretendimeve edhe jashtë Tiranës dhe vijimi i raportimeve për shkelje pas njoftimit të drejtuesve. Një rëndësi të veçantë paraqet fakti se praktikat e mosidentifikimit nuk janë ndërprerë, pavarësisht denoncimeve publike dhe evidentimit të pasojave të tyre në pamundësinë e identifikimit të autorëve të dhunës. Në këtë kuadër duhet të hetohen edhe rastet e pretenduara të tolerimit të dhunës nga persona civilë dhe funksionarë të tjerë publikë, për të përcaktuar nëse ka ekzistuar koordinim me strukturat policore ose mbrojtje e vetëdijshme e autorëve nga identifikimi dhe ndjekja penale.</w:t>
      </w:r>
    </w:p>
    <w:p w14:paraId="26B4982E" w14:textId="77777777" w:rsidR="00021EA7" w:rsidRPr="00503A01" w:rsidRDefault="00021EA7" w:rsidP="00021EA7">
      <w:pPr>
        <w:spacing w:after="0" w:line="240" w:lineRule="auto"/>
        <w:jc w:val="both"/>
        <w:rPr>
          <w:rFonts w:ascii="Times New Roman" w:hAnsi="Times New Roman" w:cs="Times New Roman"/>
          <w:sz w:val="24"/>
          <w:szCs w:val="24"/>
        </w:rPr>
      </w:pPr>
    </w:p>
    <w:p w14:paraId="1135AF7E" w14:textId="4F21406F"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Drejtuesit </w:t>
      </w:r>
      <w:r w:rsidR="00A10323" w:rsidRPr="00503A01">
        <w:rPr>
          <w:rFonts w:ascii="Times New Roman" w:hAnsi="Times New Roman" w:cs="Times New Roman"/>
          <w:sz w:val="24"/>
          <w:szCs w:val="24"/>
        </w:rPr>
        <w:t xml:space="preserve">e </w:t>
      </w:r>
      <w:r w:rsidRPr="00503A01">
        <w:rPr>
          <w:rFonts w:ascii="Times New Roman" w:hAnsi="Times New Roman" w:cs="Times New Roman"/>
          <w:sz w:val="24"/>
          <w:szCs w:val="24"/>
        </w:rPr>
        <w:t>lartë të Policisë së Shtetit, Ministria e Punëve të Brendshme dhe Kryeministria janë vënë në dijeni të problematikave nëpërmjet denoncimeve publike, pamjeve filmike të shpërndara gjerësisht, raportimeve të mediave, gjetjeve dhe komunikimeve të Avokatit të Popullit, si dhe letrës së hapur të Qendrës Res Publica dhe nënshkruesve të tjerë, të dërguar edhe përmes kanaleve zyrtare. Veç kësaj, Drejtori i Përgjithshëm i Policisë së Shtetit ka qenë personalisht i pranishëm në terren gjatë disa ndërhyrjeve, çka e bën të nevojshëm verifikimin e dijenisë së tij të drejtpërdrejtë për praktikat e denoncuara, si dhe të masave konkrete që ka urdhëruar ose nuk ka marrë për ndërprerjen e tyre.</w:t>
      </w:r>
    </w:p>
    <w:p w14:paraId="15DAE579" w14:textId="77777777" w:rsidR="00021EA7" w:rsidRPr="00503A01" w:rsidRDefault="00021EA7" w:rsidP="00021EA7">
      <w:pPr>
        <w:spacing w:after="0" w:line="240" w:lineRule="auto"/>
        <w:jc w:val="both"/>
        <w:rPr>
          <w:rFonts w:ascii="Times New Roman" w:hAnsi="Times New Roman" w:cs="Times New Roman"/>
          <w:sz w:val="24"/>
          <w:szCs w:val="24"/>
        </w:rPr>
      </w:pPr>
    </w:p>
    <w:p w14:paraId="539A23D4" w14:textId="445BEE89"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Rëndësi të veçantë paraqet edhe fakti se më 19.10.2026, Kryeministri Edi Rama zhvilloi një takim me strukturat drejtuese të Policisë së Shtetit, në prani të Ministrit të Punëve të Brendshme, ku mbajti një fjalim që përmban deklarata lidhur me mënyrën e trajtimit të protestuesve, veprimtarinë e policisë, kërkesat për prova filmike dhe rolin e mediave. Në këtë takim, ai deklaroi ndër të tjera se edhe personat që qëndrojnë pranë pjesëmarrësve të dhunshëm, pa kryer vetë veprime dhune, janë shënjestra të ndërhyrjes policore. Gjithashtu, kritikoi gjykatat që kërkojnë prova për individualizimin e përgjegjësisë, sulmoi publikisht disa media kritike ndaj veprimeve policore dhe njoftoi një përfitim financiar prej 2.500 eurosh për çdo efektiv të angazhuar në përballjen me protestat.</w:t>
      </w:r>
    </w:p>
    <w:p w14:paraId="2A1C8822" w14:textId="77777777" w:rsidR="00021EA7" w:rsidRPr="00503A01" w:rsidRDefault="00021EA7" w:rsidP="00021EA7">
      <w:pPr>
        <w:spacing w:after="0" w:line="240" w:lineRule="auto"/>
        <w:jc w:val="both"/>
        <w:rPr>
          <w:rFonts w:ascii="Times New Roman" w:hAnsi="Times New Roman" w:cs="Times New Roman"/>
          <w:sz w:val="24"/>
          <w:szCs w:val="24"/>
        </w:rPr>
      </w:pPr>
    </w:p>
    <w:p w14:paraId="5B5D588D" w14:textId="09A2156C"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Këto deklarata kërkojnë shqyrtim në kontekstin e plotë të fjalimit, të vendimmarrjes institucionale dhe të veprimeve konkrete të ndjekura nga strukturat policore, për të përcaktuar nëse kanë shërbyer si orientime, nxitje ose mbështetje për ndërhyrje të kundërligjshme ndaj protestuesve. Në veçanti, duhet të verifikohet nëse mesazhet e përcjella nga drejtimi më i lartë politik mund të kenë nxitur ose përforcuar një praktikë të shtypjes së protestave, duke relativizuar kërkesën për individualizimin e përgjegjësisë së protestuesve dhe, njëkohësisht, duke krijuar një klimë tolerance ndaj veprimeve të kundërligjshme të efektivëve. Duhet të hetohet gjithashtu nëse ekziston ndonjë lidhje ndërmjet këtyre orientimeve, planeve dhe urdhrave operacionalë, praktikave të dokumentuara në terren dhe mosmarrjes së masave për identifikimin e autorëve të dhunës.</w:t>
      </w:r>
    </w:p>
    <w:p w14:paraId="3079BC53" w14:textId="77777777" w:rsidR="00021EA7" w:rsidRPr="00503A01" w:rsidRDefault="00021EA7" w:rsidP="00021EA7">
      <w:pPr>
        <w:spacing w:after="0" w:line="240" w:lineRule="auto"/>
        <w:jc w:val="both"/>
        <w:rPr>
          <w:rFonts w:ascii="Times New Roman" w:hAnsi="Times New Roman" w:cs="Times New Roman"/>
          <w:sz w:val="24"/>
          <w:szCs w:val="24"/>
        </w:rPr>
      </w:pPr>
    </w:p>
    <w:p w14:paraId="271AFF94" w14:textId="1A4478F2"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Rëndësia penale e këtyre rrethanave duhet të vlerësohet në dritën e jurisprudencës së Gjykatës Evropiane për të Drejtat e Njeriut. Në çështjen </w:t>
      </w:r>
      <w:r w:rsidRPr="00503A01">
        <w:rPr>
          <w:rFonts w:ascii="Times New Roman" w:hAnsi="Times New Roman" w:cs="Times New Roman"/>
          <w:i/>
          <w:iCs/>
          <w:sz w:val="24"/>
          <w:szCs w:val="24"/>
        </w:rPr>
        <w:t>Dedovskiy dhe të Tjerë kundër Rusisë</w:t>
      </w:r>
      <w:r w:rsidRPr="00503A01">
        <w:rPr>
          <w:rFonts w:ascii="Times New Roman" w:hAnsi="Times New Roman" w:cs="Times New Roman"/>
          <w:sz w:val="24"/>
          <w:szCs w:val="24"/>
        </w:rPr>
        <w:t>, Gjykata ka konstatuar se autoritetet, duke lejuar përdorimin e efektivëve të maskuar pa shenja individuale identifikimi, kishin krijuar qëllimisht një situatë pandëshkueshmërie, në të cilën identifikimi i autorëve të keqtrajtimit dhe zhvillimi i një hetimi efektiv ishin bërë të pamundur.</w:t>
      </w:r>
      <w:r w:rsidR="00456483" w:rsidRPr="00503A01">
        <w:rPr>
          <w:rStyle w:val="FootnoteReference"/>
          <w:rFonts w:ascii="Times New Roman" w:hAnsi="Times New Roman" w:cs="Times New Roman"/>
          <w:sz w:val="24"/>
          <w:szCs w:val="24"/>
        </w:rPr>
        <w:footnoteReference w:id="1"/>
      </w:r>
      <w:r w:rsidRPr="00503A01">
        <w:rPr>
          <w:rFonts w:ascii="Times New Roman" w:hAnsi="Times New Roman" w:cs="Times New Roman"/>
          <w:sz w:val="24"/>
          <w:szCs w:val="24"/>
        </w:rPr>
        <w:t xml:space="preserve"> Ndërsa në çështjen </w:t>
      </w:r>
      <w:r w:rsidRPr="00503A01">
        <w:rPr>
          <w:rFonts w:ascii="Times New Roman" w:hAnsi="Times New Roman" w:cs="Times New Roman"/>
          <w:i/>
          <w:iCs/>
          <w:sz w:val="24"/>
          <w:szCs w:val="24"/>
        </w:rPr>
        <w:t>Tsaava dhe të Tjerë kundër Gjeorgjisë</w:t>
      </w:r>
      <w:r w:rsidRPr="00503A01">
        <w:rPr>
          <w:rFonts w:ascii="Times New Roman" w:hAnsi="Times New Roman" w:cs="Times New Roman"/>
          <w:sz w:val="24"/>
          <w:szCs w:val="24"/>
        </w:rPr>
        <w:t>, Dhoma e Madhe ka theksuar se hetimi efektiv i përdorimit të forcës policore në shkallë të gjerë duhet të përfshijë jo vetëm veprimet individuale të efektivëve, por edhe analizën sistematike të ngjarjeve, bazën ligjore, planifikimin dhe ekzekutimin e operacionit, si dhe përgjegjësinë e mundshme të drejtuesve që kanë planifikuar dhe kontrolluar atë.</w:t>
      </w:r>
      <w:r w:rsidR="00456483" w:rsidRPr="00503A01">
        <w:rPr>
          <w:rStyle w:val="FootnoteReference"/>
          <w:rFonts w:ascii="Times New Roman" w:hAnsi="Times New Roman" w:cs="Times New Roman"/>
          <w:sz w:val="24"/>
          <w:szCs w:val="24"/>
        </w:rPr>
        <w:footnoteReference w:id="2"/>
      </w:r>
    </w:p>
    <w:p w14:paraId="483F7BF2" w14:textId="77777777" w:rsidR="006E7F35" w:rsidRPr="00503A01" w:rsidRDefault="006E7F35" w:rsidP="00021EA7">
      <w:pPr>
        <w:spacing w:after="0" w:line="240" w:lineRule="auto"/>
        <w:jc w:val="both"/>
        <w:rPr>
          <w:rFonts w:ascii="Times New Roman" w:hAnsi="Times New Roman" w:cs="Times New Roman"/>
          <w:sz w:val="24"/>
          <w:szCs w:val="24"/>
        </w:rPr>
      </w:pPr>
    </w:p>
    <w:p w14:paraId="51CB88E3" w14:textId="4A29DB67"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Në këto kushte, kallëzuesi</w:t>
      </w:r>
      <w:r w:rsidR="006E7F35" w:rsidRPr="00503A01">
        <w:rPr>
          <w:rFonts w:ascii="Times New Roman" w:hAnsi="Times New Roman" w:cs="Times New Roman"/>
          <w:sz w:val="24"/>
          <w:szCs w:val="24"/>
        </w:rPr>
        <w:t>t</w:t>
      </w:r>
      <w:r w:rsidRPr="00503A01">
        <w:rPr>
          <w:rFonts w:ascii="Times New Roman" w:hAnsi="Times New Roman" w:cs="Times New Roman"/>
          <w:sz w:val="24"/>
          <w:szCs w:val="24"/>
        </w:rPr>
        <w:t xml:space="preserve"> kërko</w:t>
      </w:r>
      <w:r w:rsidR="006E7F35" w:rsidRPr="00503A01">
        <w:rPr>
          <w:rFonts w:ascii="Times New Roman" w:hAnsi="Times New Roman" w:cs="Times New Roman"/>
          <w:sz w:val="24"/>
          <w:szCs w:val="24"/>
        </w:rPr>
        <w:t>j</w:t>
      </w:r>
      <w:r w:rsidRPr="00503A01">
        <w:rPr>
          <w:rFonts w:ascii="Times New Roman" w:hAnsi="Times New Roman" w:cs="Times New Roman"/>
          <w:sz w:val="24"/>
          <w:szCs w:val="24"/>
        </w:rPr>
        <w:t>n</w:t>
      </w:r>
      <w:r w:rsidR="00117C24" w:rsidRPr="00503A01">
        <w:rPr>
          <w:rFonts w:ascii="Times New Roman" w:hAnsi="Times New Roman" w:cs="Times New Roman"/>
          <w:sz w:val="24"/>
          <w:szCs w:val="24"/>
        </w:rPr>
        <w:t>ë</w:t>
      </w:r>
      <w:r w:rsidRPr="00503A01">
        <w:rPr>
          <w:rFonts w:ascii="Times New Roman" w:hAnsi="Times New Roman" w:cs="Times New Roman"/>
          <w:sz w:val="24"/>
          <w:szCs w:val="24"/>
        </w:rPr>
        <w:t xml:space="preserve"> që Prokuroria e Posaçme të regjistrojë procedimin penal dhe të hetojë nëse veprimet dhe mosveprimet e personave të kallëzuar përbëjnë veprat penale të parashikuara nga nenet 86, 87, 88, 110, 248, 250, 251 dhe 261 të Kodit Penal, sipas rolit dhe kontributit konkret të secilit, përfshirë kryerjen eventuale në bashkëpunim, sipas neneve 25</w:t>
      </w:r>
      <w:r w:rsidR="00C138FD" w:rsidRPr="00503A01">
        <w:rPr>
          <w:rFonts w:ascii="Times New Roman" w:hAnsi="Times New Roman" w:cs="Times New Roman"/>
          <w:sz w:val="24"/>
          <w:szCs w:val="24"/>
        </w:rPr>
        <w:t>-</w:t>
      </w:r>
      <w:r w:rsidRPr="00503A01">
        <w:rPr>
          <w:rFonts w:ascii="Times New Roman" w:hAnsi="Times New Roman" w:cs="Times New Roman"/>
          <w:sz w:val="24"/>
          <w:szCs w:val="24"/>
        </w:rPr>
        <w:t xml:space="preserve">27 të këtij Kodi. </w:t>
      </w:r>
      <w:r w:rsidR="00C138FD" w:rsidRPr="00503A01">
        <w:rPr>
          <w:rFonts w:ascii="Times New Roman" w:hAnsi="Times New Roman" w:cs="Times New Roman"/>
          <w:sz w:val="24"/>
          <w:szCs w:val="24"/>
        </w:rPr>
        <w:t>Hetimi kërkohet të përfshijë edhe episodet e qitjeve me predha kinetike dhe cilësimin e tyre eventual sipas nenit 76 në lidhje me nenin 22 të Kodit Penal.</w:t>
      </w:r>
      <w:r w:rsidR="00C138FD" w:rsidRPr="00503A01">
        <w:rPr>
          <w:rFonts w:ascii="Times New Roman" w:hAnsi="Times New Roman" w:cs="Times New Roman"/>
          <w:sz w:val="24"/>
          <w:szCs w:val="24"/>
        </w:rPr>
        <w:t xml:space="preserve"> </w:t>
      </w:r>
      <w:r w:rsidRPr="00503A01">
        <w:rPr>
          <w:rFonts w:ascii="Times New Roman" w:hAnsi="Times New Roman" w:cs="Times New Roman"/>
          <w:sz w:val="24"/>
          <w:szCs w:val="24"/>
        </w:rPr>
        <w:t>Gjithashtu, kërkohet të vlerësohet nëse ekzistojnë elementet e një grupi të strukturuar kriminal, sipas neneve 28/4 dhe 333/a të Kodit Penal, nëse provohet një organizim i qëllimshëm dhe jo i rastësishëm për kryerjen e veprave penale në funksion të shtypjes së protestave, me synim realizimin e përfitimeve materiale ose jomateriale, përfshirë shmangien e përgjegjësisë penale të autorëve.</w:t>
      </w:r>
    </w:p>
    <w:p w14:paraId="1515D64E" w14:textId="77777777" w:rsidR="006E7F35" w:rsidRPr="00503A01" w:rsidRDefault="006E7F35" w:rsidP="00021EA7">
      <w:pPr>
        <w:spacing w:after="0" w:line="240" w:lineRule="auto"/>
        <w:jc w:val="both"/>
        <w:rPr>
          <w:rFonts w:ascii="Times New Roman" w:hAnsi="Times New Roman" w:cs="Times New Roman"/>
          <w:sz w:val="24"/>
          <w:szCs w:val="24"/>
        </w:rPr>
      </w:pPr>
    </w:p>
    <w:p w14:paraId="084F482E" w14:textId="0ED178D9"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Në këtë kuadër kërkohet edhe verifikimi i rolit dhe përgjegjësisë eventuale të Ministrit të Punëve të Brendshme dhe Kryeministrit, sipas kompetencave, dijenisë, vendimmarrjeve dhe kontributit konkret të secilit, për të përcaktuar nëse kanë nxitur, mbështetur ose lehtësuar me vetëdije praktikat e kundërligjshme të denoncuara dhe mekanizmin e dyshuar të pandëshkueshmërisë.</w:t>
      </w:r>
    </w:p>
    <w:p w14:paraId="6AB18527" w14:textId="77777777" w:rsidR="006E7F35" w:rsidRPr="00503A01" w:rsidRDefault="006E7F35" w:rsidP="00021EA7">
      <w:pPr>
        <w:spacing w:after="0" w:line="240" w:lineRule="auto"/>
        <w:jc w:val="both"/>
        <w:rPr>
          <w:rFonts w:ascii="Times New Roman" w:hAnsi="Times New Roman" w:cs="Times New Roman"/>
          <w:sz w:val="24"/>
          <w:szCs w:val="24"/>
        </w:rPr>
      </w:pPr>
    </w:p>
    <w:p w14:paraId="6490CCC6" w14:textId="01CB2E07" w:rsidR="00021EA7" w:rsidRPr="00503A01" w:rsidRDefault="00021EA7" w:rsidP="00021EA7">
      <w:pPr>
        <w:spacing w:after="0" w:line="240" w:lineRule="auto"/>
        <w:jc w:val="both"/>
        <w:rPr>
          <w:rFonts w:ascii="Times New Roman" w:hAnsi="Times New Roman" w:cs="Times New Roman"/>
          <w:spacing w:val="-2"/>
          <w:sz w:val="24"/>
          <w:szCs w:val="24"/>
        </w:rPr>
      </w:pPr>
      <w:r w:rsidRPr="00503A01">
        <w:rPr>
          <w:rFonts w:ascii="Times New Roman" w:hAnsi="Times New Roman" w:cs="Times New Roman"/>
          <w:spacing w:val="-2"/>
          <w:sz w:val="24"/>
          <w:szCs w:val="24"/>
        </w:rPr>
        <w:t xml:space="preserve">Kallëzuesi kërkon hetimin nëpërmjet administrimit të provave që disponohen kryesisht nga institucionet publike, përfshirë planet operacionale, urdhrat, regjistrat e personelit dhe të pajisjeve, dokumentacionin për identifikimin individual të efektivëve, radiokomunikimet, regjistrimet filmike, raportet mbi përdorimin e forcës, komunikimet ndërmjet niveleve drejtuese dhe dokumentacionin mbi masat e marra pas denoncimeve. Në mënyrë të veçantë, kërkohet të verifikohet nëse mungesa e identifikimit të efektivëve ka qenë pasojë e mangësive organizative </w:t>
      </w:r>
      <w:r w:rsidRPr="00503A01">
        <w:rPr>
          <w:rFonts w:ascii="Times New Roman" w:hAnsi="Times New Roman" w:cs="Times New Roman"/>
          <w:spacing w:val="-2"/>
          <w:sz w:val="24"/>
          <w:szCs w:val="24"/>
        </w:rPr>
        <w:lastRenderedPageBreak/>
        <w:t>apo e vendimmarrjeve të qëllimshme, si dhe nëse drejtuesit kishin dijeni se kjo praktikë lehtësonte kryerjen e veprave penale dhe pengonte ndëshkimin e autorëve të tyre.</w:t>
      </w:r>
    </w:p>
    <w:p w14:paraId="3F2B684B" w14:textId="77777777" w:rsidR="00A10323" w:rsidRPr="00503A01" w:rsidRDefault="00A10323" w:rsidP="00021EA7">
      <w:pPr>
        <w:spacing w:after="0" w:line="240" w:lineRule="auto"/>
        <w:jc w:val="both"/>
        <w:rPr>
          <w:rFonts w:ascii="Times New Roman" w:hAnsi="Times New Roman" w:cs="Times New Roman"/>
          <w:sz w:val="24"/>
          <w:szCs w:val="24"/>
        </w:rPr>
      </w:pPr>
    </w:p>
    <w:p w14:paraId="220CAD62" w14:textId="50469769" w:rsidR="00021EA7" w:rsidRPr="00503A01" w:rsidRDefault="00021EA7" w:rsidP="00021EA7">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Në vijim paraqiten faktet dhe materialet që mbështesin nevojën për fillimin e hetimit, standardet ligjore dhe jurisprudenciale përkatëse, analiza e përgjegjësisë së mundshme penale dhe kërkesat për veprimet hetimore e masat urgjente.</w:t>
      </w:r>
    </w:p>
    <w:p w14:paraId="67480E36" w14:textId="77777777" w:rsidR="00D806B2" w:rsidRPr="00503A01" w:rsidRDefault="00D806B2" w:rsidP="00021EA7">
      <w:pPr>
        <w:spacing w:after="0" w:line="240" w:lineRule="auto"/>
        <w:jc w:val="both"/>
        <w:rPr>
          <w:rFonts w:ascii="Times New Roman" w:hAnsi="Times New Roman" w:cs="Times New Roman"/>
          <w:sz w:val="24"/>
          <w:szCs w:val="24"/>
        </w:rPr>
      </w:pPr>
    </w:p>
    <w:p w14:paraId="2767CC61" w14:textId="77777777" w:rsidR="00677BCA" w:rsidRPr="00503A01" w:rsidRDefault="00677BCA" w:rsidP="00184738">
      <w:pPr>
        <w:spacing w:after="0" w:line="240" w:lineRule="auto"/>
        <w:jc w:val="both"/>
        <w:rPr>
          <w:rFonts w:ascii="Times New Roman" w:hAnsi="Times New Roman" w:cs="Times New Roman"/>
          <w:bCs/>
          <w:sz w:val="24"/>
          <w:szCs w:val="24"/>
        </w:rPr>
      </w:pPr>
    </w:p>
    <w:p w14:paraId="1CC857FC" w14:textId="2ADD15BD" w:rsidR="0060270A" w:rsidRPr="00503A01" w:rsidRDefault="0060270A" w:rsidP="0060270A">
      <w:pPr>
        <w:pStyle w:val="ListParagraph"/>
        <w:numPr>
          <w:ilvl w:val="0"/>
          <w:numId w:val="3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KATALOG I DISA VEPRIMEVE DHE MOSVEPRIMEVE TË DYSHUARA TË PUNONJËSVE TË POLICISË SË SHTETIT</w:t>
      </w:r>
      <w:r w:rsidR="002320B4" w:rsidRPr="00503A01">
        <w:rPr>
          <w:rFonts w:ascii="Times New Roman" w:hAnsi="Times New Roman" w:cs="Times New Roman"/>
          <w:b/>
          <w:bCs/>
          <w:sz w:val="24"/>
          <w:szCs w:val="24"/>
        </w:rPr>
        <w:t xml:space="preserve"> (shih ANEKSIN 2)</w:t>
      </w:r>
    </w:p>
    <w:p w14:paraId="51103D45" w14:textId="77777777" w:rsidR="0060270A" w:rsidRPr="00503A01" w:rsidRDefault="0060270A" w:rsidP="0060270A">
      <w:pPr>
        <w:pStyle w:val="ListParagraph"/>
        <w:spacing w:after="0" w:line="240" w:lineRule="auto"/>
        <w:ind w:left="1080"/>
        <w:jc w:val="both"/>
        <w:rPr>
          <w:rFonts w:ascii="Times New Roman" w:hAnsi="Times New Roman" w:cs="Times New Roman"/>
          <w:b/>
          <w:bCs/>
          <w:sz w:val="24"/>
          <w:szCs w:val="24"/>
        </w:rPr>
      </w:pPr>
    </w:p>
    <w:p w14:paraId="4CE424E7" w14:textId="7BF4B75F" w:rsidR="0060270A" w:rsidRPr="00503A01" w:rsidRDefault="0060270A" w:rsidP="0060270A">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 xml:space="preserve">Gjatë protestave të zhvilluara prej datës 13.10.2026, në Tiranë dhe në disa qytete të tjera të Shqipërisë, janë publikuar një numër i madh pamjesh filmike, dëshmish, denoncimesh dhe raportesh institucionale që ngrenë dyshime për kryerjen e veprave penale dhe shkeljeve të tjera të ligjit nga punonjës të Policisë së Shtetit. </w:t>
      </w:r>
      <w:r w:rsidR="00883EA8" w:rsidRPr="00503A01">
        <w:rPr>
          <w:rFonts w:ascii="Times New Roman" w:hAnsi="Times New Roman" w:cs="Times New Roman"/>
          <w:bCs/>
          <w:sz w:val="24"/>
          <w:szCs w:val="24"/>
        </w:rPr>
        <w:t xml:space="preserve">Disa </w:t>
      </w:r>
      <w:r w:rsidRPr="00503A01">
        <w:rPr>
          <w:rFonts w:ascii="Times New Roman" w:hAnsi="Times New Roman" w:cs="Times New Roman"/>
          <w:bCs/>
          <w:sz w:val="24"/>
          <w:szCs w:val="24"/>
        </w:rPr>
        <w:t>episodeve mbështeten në regjistrime filmike, të tjera në dëshmi individuale, ndërsa disa prej problematikave janë evidentuar drejtpërdrejt nga Avokati i Popullit dhe organizata të tjera që kanë monitoruar protestat.</w:t>
      </w:r>
    </w:p>
    <w:p w14:paraId="45F3F352" w14:textId="77777777" w:rsidR="0060270A" w:rsidRPr="00503A01" w:rsidRDefault="0060270A" w:rsidP="0060270A">
      <w:pPr>
        <w:spacing w:after="0" w:line="240" w:lineRule="auto"/>
        <w:jc w:val="both"/>
        <w:rPr>
          <w:rFonts w:ascii="Times New Roman" w:hAnsi="Times New Roman" w:cs="Times New Roman"/>
          <w:bCs/>
          <w:sz w:val="24"/>
          <w:szCs w:val="24"/>
        </w:rPr>
      </w:pPr>
    </w:p>
    <w:p w14:paraId="69877817" w14:textId="6929F4D0" w:rsidR="0060270A" w:rsidRPr="00503A01" w:rsidRDefault="0060270A" w:rsidP="00976139">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Këto materiale nuk përshkruajnë një lloj të vetëm sjelljeje të kundërligjshme. Ato përfshijnë:</w:t>
      </w:r>
      <w:r w:rsidR="00F11591" w:rsidRPr="00503A01">
        <w:rPr>
          <w:rFonts w:ascii="Times New Roman" w:hAnsi="Times New Roman" w:cs="Times New Roman"/>
          <w:bCs/>
          <w:sz w:val="24"/>
          <w:szCs w:val="24"/>
        </w:rPr>
        <w:t xml:space="preserve"> (1) </w:t>
      </w:r>
      <w:r w:rsidRPr="00503A01">
        <w:rPr>
          <w:rFonts w:ascii="Times New Roman" w:hAnsi="Times New Roman" w:cs="Times New Roman"/>
          <w:bCs/>
          <w:sz w:val="24"/>
          <w:szCs w:val="24"/>
        </w:rPr>
        <w:t xml:space="preserve">përdorimin e paligjshëm ose joproporcional të forcës fizike, përfshirë goditjet brutale ndaj personave paqësorë ose të neutralizuar; </w:t>
      </w:r>
      <w:r w:rsidR="00F11591" w:rsidRPr="00503A01">
        <w:rPr>
          <w:rFonts w:ascii="Times New Roman" w:hAnsi="Times New Roman" w:cs="Times New Roman"/>
          <w:bCs/>
          <w:sz w:val="24"/>
          <w:szCs w:val="24"/>
        </w:rPr>
        <w:t xml:space="preserve">(2) </w:t>
      </w:r>
      <w:r w:rsidRPr="00503A01">
        <w:rPr>
          <w:rFonts w:ascii="Times New Roman" w:hAnsi="Times New Roman" w:cs="Times New Roman"/>
          <w:bCs/>
          <w:sz w:val="24"/>
          <w:szCs w:val="24"/>
        </w:rPr>
        <w:t>përdorimin e predhave kinetike, gazit lotsjellës</w:t>
      </w:r>
      <w:r w:rsidR="00883EA8" w:rsidRPr="00503A01">
        <w:rPr>
          <w:rFonts w:ascii="Times New Roman" w:hAnsi="Times New Roman" w:cs="Times New Roman"/>
          <w:bCs/>
          <w:sz w:val="24"/>
          <w:szCs w:val="24"/>
        </w:rPr>
        <w:t>, gur</w:t>
      </w:r>
      <w:r w:rsidR="00F11591" w:rsidRPr="00503A01">
        <w:rPr>
          <w:rFonts w:ascii="Times New Roman" w:hAnsi="Times New Roman" w:cs="Times New Roman"/>
          <w:bCs/>
          <w:sz w:val="24"/>
          <w:szCs w:val="24"/>
        </w:rPr>
        <w:t>ë</w:t>
      </w:r>
      <w:r w:rsidR="00883EA8" w:rsidRPr="00503A01">
        <w:rPr>
          <w:rFonts w:ascii="Times New Roman" w:hAnsi="Times New Roman" w:cs="Times New Roman"/>
          <w:bCs/>
          <w:sz w:val="24"/>
          <w:szCs w:val="24"/>
        </w:rPr>
        <w:t>ve</w:t>
      </w:r>
      <w:r w:rsidR="005733F7" w:rsidRPr="00503A01">
        <w:rPr>
          <w:rFonts w:ascii="Times New Roman" w:hAnsi="Times New Roman" w:cs="Times New Roman"/>
          <w:bCs/>
          <w:sz w:val="24"/>
          <w:szCs w:val="24"/>
        </w:rPr>
        <w:t>,</w:t>
      </w:r>
      <w:r w:rsidRPr="00503A01">
        <w:rPr>
          <w:rFonts w:ascii="Times New Roman" w:hAnsi="Times New Roman" w:cs="Times New Roman"/>
          <w:bCs/>
          <w:sz w:val="24"/>
          <w:szCs w:val="24"/>
        </w:rPr>
        <w:t xml:space="preserve"> e mjeteve të tjera të rrezikshme; </w:t>
      </w:r>
      <w:r w:rsidR="00F11591" w:rsidRPr="00503A01">
        <w:rPr>
          <w:rFonts w:ascii="Times New Roman" w:hAnsi="Times New Roman" w:cs="Times New Roman"/>
          <w:bCs/>
          <w:sz w:val="24"/>
          <w:szCs w:val="24"/>
        </w:rPr>
        <w:t xml:space="preserve">(3) </w:t>
      </w:r>
      <w:r w:rsidRPr="00503A01">
        <w:rPr>
          <w:rFonts w:ascii="Times New Roman" w:hAnsi="Times New Roman" w:cs="Times New Roman"/>
          <w:bCs/>
          <w:sz w:val="24"/>
          <w:szCs w:val="24"/>
        </w:rPr>
        <w:t xml:space="preserve">cenimin e integritetit fizik dhe psikik; </w:t>
      </w:r>
      <w:r w:rsidR="00F11591" w:rsidRPr="00503A01">
        <w:rPr>
          <w:rFonts w:ascii="Times New Roman" w:hAnsi="Times New Roman" w:cs="Times New Roman"/>
          <w:bCs/>
          <w:sz w:val="24"/>
          <w:szCs w:val="24"/>
        </w:rPr>
        <w:t xml:space="preserve">(4) </w:t>
      </w:r>
      <w:r w:rsidRPr="00503A01">
        <w:rPr>
          <w:rFonts w:ascii="Times New Roman" w:hAnsi="Times New Roman" w:cs="Times New Roman"/>
          <w:bCs/>
          <w:sz w:val="24"/>
          <w:szCs w:val="24"/>
        </w:rPr>
        <w:t xml:space="preserve">shoqërimet dhe arrestimet arbitrare; </w:t>
      </w:r>
      <w:r w:rsidR="00F11591" w:rsidRPr="00503A01">
        <w:rPr>
          <w:rFonts w:ascii="Times New Roman" w:hAnsi="Times New Roman" w:cs="Times New Roman"/>
          <w:bCs/>
          <w:sz w:val="24"/>
          <w:szCs w:val="24"/>
        </w:rPr>
        <w:t xml:space="preserve">(5) </w:t>
      </w:r>
      <w:r w:rsidRPr="00503A01">
        <w:rPr>
          <w:rFonts w:ascii="Times New Roman" w:hAnsi="Times New Roman" w:cs="Times New Roman"/>
          <w:bCs/>
          <w:sz w:val="24"/>
          <w:szCs w:val="24"/>
        </w:rPr>
        <w:t xml:space="preserve">pengimin e ushtrimit të së drejtës së tubimit; </w:t>
      </w:r>
      <w:r w:rsidR="00F11591" w:rsidRPr="00503A01">
        <w:rPr>
          <w:rFonts w:ascii="Times New Roman" w:hAnsi="Times New Roman" w:cs="Times New Roman"/>
          <w:bCs/>
          <w:sz w:val="24"/>
          <w:szCs w:val="24"/>
        </w:rPr>
        <w:t xml:space="preserve">(6) </w:t>
      </w:r>
      <w:r w:rsidRPr="00503A01">
        <w:rPr>
          <w:rFonts w:ascii="Times New Roman" w:hAnsi="Times New Roman" w:cs="Times New Roman"/>
          <w:bCs/>
          <w:sz w:val="24"/>
          <w:szCs w:val="24"/>
        </w:rPr>
        <w:t xml:space="preserve">shkeljet ndaj të miturve; </w:t>
      </w:r>
      <w:r w:rsidR="00F11591" w:rsidRPr="00503A01">
        <w:rPr>
          <w:rFonts w:ascii="Times New Roman" w:hAnsi="Times New Roman" w:cs="Times New Roman"/>
          <w:bCs/>
          <w:sz w:val="24"/>
          <w:szCs w:val="24"/>
        </w:rPr>
        <w:t xml:space="preserve">(7) </w:t>
      </w:r>
      <w:r w:rsidRPr="00503A01">
        <w:rPr>
          <w:rFonts w:ascii="Times New Roman" w:hAnsi="Times New Roman" w:cs="Times New Roman"/>
          <w:bCs/>
          <w:sz w:val="24"/>
          <w:szCs w:val="24"/>
        </w:rPr>
        <w:t xml:space="preserve">ndërhyrjet në privatësinë e qytetarëve; </w:t>
      </w:r>
      <w:r w:rsidR="00F11591" w:rsidRPr="00503A01">
        <w:rPr>
          <w:rFonts w:ascii="Times New Roman" w:hAnsi="Times New Roman" w:cs="Times New Roman"/>
          <w:bCs/>
          <w:sz w:val="24"/>
          <w:szCs w:val="24"/>
        </w:rPr>
        <w:t xml:space="preserve">(8) </w:t>
      </w:r>
      <w:r w:rsidRPr="00503A01">
        <w:rPr>
          <w:rFonts w:ascii="Times New Roman" w:hAnsi="Times New Roman" w:cs="Times New Roman"/>
          <w:bCs/>
          <w:sz w:val="24"/>
          <w:szCs w:val="24"/>
        </w:rPr>
        <w:t xml:space="preserve">pengimin e gazetarëve dhe qytetarëve që dokumentojnë ndërhyrjet policore; </w:t>
      </w:r>
      <w:r w:rsidR="00F11591" w:rsidRPr="00503A01">
        <w:rPr>
          <w:rFonts w:ascii="Times New Roman" w:hAnsi="Times New Roman" w:cs="Times New Roman"/>
          <w:bCs/>
          <w:sz w:val="24"/>
          <w:szCs w:val="24"/>
        </w:rPr>
        <w:t xml:space="preserve">(9) </w:t>
      </w:r>
      <w:r w:rsidRPr="00503A01">
        <w:rPr>
          <w:rFonts w:ascii="Times New Roman" w:hAnsi="Times New Roman" w:cs="Times New Roman"/>
          <w:bCs/>
          <w:sz w:val="24"/>
          <w:szCs w:val="24"/>
        </w:rPr>
        <w:t>mosdhënien e ndihmës mjekësore</w:t>
      </w:r>
      <w:r w:rsidR="005733F7" w:rsidRPr="00503A01">
        <w:rPr>
          <w:rFonts w:ascii="Times New Roman" w:hAnsi="Times New Roman" w:cs="Times New Roman"/>
          <w:bCs/>
          <w:sz w:val="24"/>
          <w:szCs w:val="24"/>
        </w:rPr>
        <w:t>, si</w:t>
      </w:r>
      <w:r w:rsidRPr="00503A01">
        <w:rPr>
          <w:rFonts w:ascii="Times New Roman" w:hAnsi="Times New Roman" w:cs="Times New Roman"/>
          <w:bCs/>
          <w:sz w:val="24"/>
          <w:szCs w:val="24"/>
        </w:rPr>
        <w:t xml:space="preserve"> dhe </w:t>
      </w:r>
      <w:r w:rsidR="00976139" w:rsidRPr="00503A01">
        <w:rPr>
          <w:rFonts w:ascii="Times New Roman" w:hAnsi="Times New Roman" w:cs="Times New Roman"/>
          <w:bCs/>
          <w:sz w:val="24"/>
          <w:szCs w:val="24"/>
        </w:rPr>
        <w:t xml:space="preserve">(10) </w:t>
      </w:r>
      <w:r w:rsidRPr="00503A01">
        <w:rPr>
          <w:rFonts w:ascii="Times New Roman" w:hAnsi="Times New Roman" w:cs="Times New Roman"/>
          <w:bCs/>
          <w:sz w:val="24"/>
          <w:szCs w:val="24"/>
        </w:rPr>
        <w:t>trajtimin e papërshtatshëm të personave të privuar nga liria</w:t>
      </w:r>
      <w:r w:rsidR="00FA3052" w:rsidRPr="00503A01">
        <w:rPr>
          <w:rFonts w:ascii="Times New Roman" w:hAnsi="Times New Roman" w:cs="Times New Roman"/>
          <w:bCs/>
          <w:sz w:val="24"/>
          <w:szCs w:val="24"/>
        </w:rPr>
        <w:t>,</w:t>
      </w:r>
      <w:r w:rsidR="00187BC7" w:rsidRPr="00503A01">
        <w:rPr>
          <w:rFonts w:ascii="Times New Roman" w:hAnsi="Times New Roman" w:cs="Times New Roman"/>
          <w:bCs/>
          <w:sz w:val="24"/>
          <w:szCs w:val="24"/>
        </w:rPr>
        <w:t xml:space="preserve"> </w:t>
      </w:r>
      <w:r w:rsidR="00FA3052" w:rsidRPr="00503A01">
        <w:rPr>
          <w:rFonts w:ascii="Times New Roman" w:hAnsi="Times New Roman" w:cs="Times New Roman"/>
          <w:bCs/>
          <w:sz w:val="24"/>
          <w:szCs w:val="24"/>
        </w:rPr>
        <w:t>(1</w:t>
      </w:r>
      <w:r w:rsidR="00187BC7" w:rsidRPr="00503A01">
        <w:rPr>
          <w:rFonts w:ascii="Times New Roman" w:hAnsi="Times New Roman" w:cs="Times New Roman"/>
          <w:bCs/>
          <w:sz w:val="24"/>
          <w:szCs w:val="24"/>
        </w:rPr>
        <w:t>1</w:t>
      </w:r>
      <w:r w:rsidR="00FA3052" w:rsidRPr="00503A01">
        <w:rPr>
          <w:rFonts w:ascii="Times New Roman" w:hAnsi="Times New Roman" w:cs="Times New Roman"/>
          <w:bCs/>
          <w:sz w:val="24"/>
          <w:szCs w:val="24"/>
        </w:rPr>
        <w:t xml:space="preserve">) </w:t>
      </w:r>
      <w:r w:rsidR="00187BC7" w:rsidRPr="00503A01">
        <w:rPr>
          <w:rFonts w:ascii="Times New Roman" w:hAnsi="Times New Roman" w:cs="Times New Roman"/>
          <w:bCs/>
          <w:sz w:val="24"/>
          <w:szCs w:val="24"/>
        </w:rPr>
        <w:t xml:space="preserve">trajtimin çnjerëzor dhe degradues me </w:t>
      </w:r>
      <w:r w:rsidR="00FA3052" w:rsidRPr="00503A01">
        <w:rPr>
          <w:rFonts w:ascii="Times New Roman" w:hAnsi="Times New Roman" w:cs="Times New Roman"/>
          <w:bCs/>
          <w:sz w:val="24"/>
          <w:szCs w:val="24"/>
        </w:rPr>
        <w:t>lidhje pas hekurave n</w:t>
      </w:r>
      <w:r w:rsidR="00187BC7" w:rsidRPr="00503A01">
        <w:rPr>
          <w:rFonts w:ascii="Times New Roman" w:hAnsi="Times New Roman" w:cs="Times New Roman"/>
          <w:bCs/>
          <w:sz w:val="24"/>
          <w:szCs w:val="24"/>
        </w:rPr>
        <w:t>ë</w:t>
      </w:r>
      <w:r w:rsidR="00FA3052" w:rsidRPr="00503A01">
        <w:rPr>
          <w:rFonts w:ascii="Times New Roman" w:hAnsi="Times New Roman" w:cs="Times New Roman"/>
          <w:bCs/>
          <w:sz w:val="24"/>
          <w:szCs w:val="24"/>
        </w:rPr>
        <w:t xml:space="preserve"> nj</w:t>
      </w:r>
      <w:r w:rsidR="00187BC7" w:rsidRPr="00503A01">
        <w:rPr>
          <w:rFonts w:ascii="Times New Roman" w:hAnsi="Times New Roman" w:cs="Times New Roman"/>
          <w:bCs/>
          <w:sz w:val="24"/>
          <w:szCs w:val="24"/>
        </w:rPr>
        <w:t>ë</w:t>
      </w:r>
      <w:r w:rsidR="00FA3052" w:rsidRPr="00503A01">
        <w:rPr>
          <w:rFonts w:ascii="Times New Roman" w:hAnsi="Times New Roman" w:cs="Times New Roman"/>
          <w:bCs/>
          <w:sz w:val="24"/>
          <w:szCs w:val="24"/>
        </w:rPr>
        <w:t xml:space="preserve"> vend publi</w:t>
      </w:r>
      <w:r w:rsidR="00187BC7" w:rsidRPr="00503A01">
        <w:rPr>
          <w:rFonts w:ascii="Times New Roman" w:hAnsi="Times New Roman" w:cs="Times New Roman"/>
          <w:bCs/>
          <w:sz w:val="24"/>
          <w:szCs w:val="24"/>
        </w:rPr>
        <w:t>k</w:t>
      </w:r>
      <w:r w:rsidR="00FA3052" w:rsidRPr="00503A01">
        <w:rPr>
          <w:rFonts w:ascii="Times New Roman" w:hAnsi="Times New Roman" w:cs="Times New Roman"/>
          <w:bCs/>
          <w:sz w:val="24"/>
          <w:szCs w:val="24"/>
        </w:rPr>
        <w:t xml:space="preserve"> dhe mbajtjen me pranga n</w:t>
      </w:r>
      <w:r w:rsidR="00187BC7" w:rsidRPr="00503A01">
        <w:rPr>
          <w:rFonts w:ascii="Times New Roman" w:hAnsi="Times New Roman" w:cs="Times New Roman"/>
          <w:bCs/>
          <w:sz w:val="24"/>
          <w:szCs w:val="24"/>
        </w:rPr>
        <w:t>ë</w:t>
      </w:r>
      <w:r w:rsidR="00FA3052" w:rsidRPr="00503A01">
        <w:rPr>
          <w:rFonts w:ascii="Times New Roman" w:hAnsi="Times New Roman" w:cs="Times New Roman"/>
          <w:bCs/>
          <w:sz w:val="24"/>
          <w:szCs w:val="24"/>
        </w:rPr>
        <w:t xml:space="preserve"> kushte spitalore. </w:t>
      </w:r>
      <w:r w:rsidRPr="00503A01">
        <w:rPr>
          <w:rFonts w:ascii="Times New Roman" w:hAnsi="Times New Roman" w:cs="Times New Roman"/>
          <w:bCs/>
          <w:sz w:val="24"/>
          <w:szCs w:val="24"/>
        </w:rPr>
        <w:t xml:space="preserve"> </w:t>
      </w:r>
    </w:p>
    <w:p w14:paraId="47396A6A" w14:textId="77777777" w:rsidR="0060270A" w:rsidRPr="00503A01" w:rsidRDefault="0060270A" w:rsidP="0060270A">
      <w:pPr>
        <w:spacing w:after="0" w:line="240" w:lineRule="auto"/>
        <w:jc w:val="both"/>
        <w:rPr>
          <w:rFonts w:ascii="Times New Roman" w:hAnsi="Times New Roman" w:cs="Times New Roman"/>
          <w:bCs/>
          <w:sz w:val="24"/>
          <w:szCs w:val="24"/>
        </w:rPr>
      </w:pPr>
    </w:p>
    <w:p w14:paraId="497A3370" w14:textId="01EAE2DD" w:rsidR="004409E9" w:rsidRPr="00503A01" w:rsidRDefault="004409E9" w:rsidP="0060270A">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Për episodet e përdorimit të predhave kinetike kërkohet verifikim i posaçëm nëse efektivët kanë shënjestruar kokën e personave ose kanë qëlluar drejt turmës në lartësinë e kokës, pa individualizuar personin që paraqiste rrezik. Për secilin episod duhet të përcaktohen pozicioni i qitësit, drejtimi dhe distanca e qitjes, lëvizjet e personave, mundësia e devijimit ose rikoshetit të predhës dhe vendi i goditjes. Goditja në kokë dhe shënjestrimi i kokës duhet të dallohen dhe të verifikohen përmes pamjeve, dëshmive dhe ekspertimit, pa e nxjerrë të dytin automatikisht nga i pari.</w:t>
      </w:r>
    </w:p>
    <w:p w14:paraId="15F8136A" w14:textId="77777777" w:rsidR="004409E9" w:rsidRPr="00503A01" w:rsidRDefault="004409E9" w:rsidP="0060270A">
      <w:pPr>
        <w:spacing w:after="0" w:line="240" w:lineRule="auto"/>
        <w:jc w:val="both"/>
        <w:rPr>
          <w:rFonts w:ascii="Times New Roman" w:hAnsi="Times New Roman" w:cs="Times New Roman"/>
          <w:bCs/>
          <w:sz w:val="24"/>
          <w:szCs w:val="24"/>
        </w:rPr>
      </w:pPr>
    </w:p>
    <w:p w14:paraId="6768A142" w14:textId="0D170577" w:rsidR="0060270A" w:rsidRPr="00503A01" w:rsidRDefault="0060270A" w:rsidP="0060270A">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Janë raportuar gjithashtu episode të përfshirjes së personave civilë në ushtrimin e dhunës, përdorimit të efektivëve të maskuar e pa shenja individuale identifikimi dhe veprimeve ose mosveprimeve që mund të pengojnë dokumentimin e shkeljeve dhe identifikimin e autorëve.</w:t>
      </w:r>
    </w:p>
    <w:p w14:paraId="788443A4" w14:textId="77777777" w:rsidR="0060270A" w:rsidRPr="00503A01" w:rsidRDefault="0060270A" w:rsidP="0060270A">
      <w:pPr>
        <w:spacing w:after="0" w:line="240" w:lineRule="auto"/>
        <w:jc w:val="both"/>
        <w:rPr>
          <w:rFonts w:ascii="Times New Roman" w:hAnsi="Times New Roman" w:cs="Times New Roman"/>
          <w:b/>
          <w:bCs/>
          <w:sz w:val="24"/>
          <w:szCs w:val="24"/>
        </w:rPr>
      </w:pPr>
    </w:p>
    <w:p w14:paraId="33FF5E08" w14:textId="0A7E0EB7" w:rsidR="0060270A" w:rsidRPr="00503A01" w:rsidRDefault="0060270A" w:rsidP="0060270A">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 xml:space="preserve">Këto episode janë përmbledhur dhe kategorizuar në </w:t>
      </w:r>
      <w:r w:rsidRPr="00503A01">
        <w:rPr>
          <w:rFonts w:ascii="Times New Roman" w:hAnsi="Times New Roman" w:cs="Times New Roman"/>
          <w:b/>
          <w:bCs/>
          <w:sz w:val="24"/>
          <w:szCs w:val="24"/>
        </w:rPr>
        <w:t>ANEKSIN 2</w:t>
      </w:r>
      <w:r w:rsidRPr="00503A01">
        <w:rPr>
          <w:rFonts w:ascii="Times New Roman" w:hAnsi="Times New Roman" w:cs="Times New Roman"/>
          <w:bCs/>
          <w:sz w:val="24"/>
          <w:szCs w:val="24"/>
        </w:rPr>
        <w:t xml:space="preserve">, bashkëlidhur këtij kallëzimi, ku paraqiten përshkrimet e rasteve, vendi dhe koha e ngjarjeve, kur janë të disponueshme, natyra e shkeljeve të dyshuara, dispozitat përkatëse të Kodit Penal dhe burimet e informacionit, përfshirë lidhjet elektronike të regjistrimeve filmike dhe raportimeve. Katalogu nuk është shterues dhe nuk përfshin të gjitha shkeljet e ndodhura, </w:t>
      </w:r>
      <w:r w:rsidR="005E6255" w:rsidRPr="00503A01">
        <w:rPr>
          <w:rFonts w:ascii="Times New Roman" w:hAnsi="Times New Roman" w:cs="Times New Roman"/>
          <w:bCs/>
          <w:sz w:val="24"/>
          <w:szCs w:val="24"/>
        </w:rPr>
        <w:t>p</w:t>
      </w:r>
      <w:r w:rsidR="00F11591" w:rsidRPr="00503A01">
        <w:rPr>
          <w:rFonts w:ascii="Times New Roman" w:hAnsi="Times New Roman" w:cs="Times New Roman"/>
          <w:bCs/>
          <w:sz w:val="24"/>
          <w:szCs w:val="24"/>
        </w:rPr>
        <w:t>ë</w:t>
      </w:r>
      <w:r w:rsidR="005E6255" w:rsidRPr="00503A01">
        <w:rPr>
          <w:rFonts w:ascii="Times New Roman" w:hAnsi="Times New Roman" w:cs="Times New Roman"/>
          <w:bCs/>
          <w:sz w:val="24"/>
          <w:szCs w:val="24"/>
        </w:rPr>
        <w:t>rfshir</w:t>
      </w:r>
      <w:r w:rsidR="00F11591" w:rsidRPr="00503A01">
        <w:rPr>
          <w:rFonts w:ascii="Times New Roman" w:hAnsi="Times New Roman" w:cs="Times New Roman"/>
          <w:bCs/>
          <w:sz w:val="24"/>
          <w:szCs w:val="24"/>
        </w:rPr>
        <w:t>ë</w:t>
      </w:r>
      <w:r w:rsidR="005E6255" w:rsidRPr="00503A01">
        <w:rPr>
          <w:rFonts w:ascii="Times New Roman" w:hAnsi="Times New Roman" w:cs="Times New Roman"/>
          <w:bCs/>
          <w:sz w:val="24"/>
          <w:szCs w:val="24"/>
        </w:rPr>
        <w:t xml:space="preserve"> edhe ato </w:t>
      </w:r>
      <w:r w:rsidRPr="00503A01">
        <w:rPr>
          <w:rFonts w:ascii="Times New Roman" w:hAnsi="Times New Roman" w:cs="Times New Roman"/>
          <w:bCs/>
          <w:sz w:val="24"/>
          <w:szCs w:val="24"/>
        </w:rPr>
        <w:t>që nuk janë dokumentuar publikisht, por që mund të evidentohen përmes dëshmive dhe provave të tjera gjatë hetimit.</w:t>
      </w:r>
    </w:p>
    <w:p w14:paraId="155A89BC" w14:textId="77777777" w:rsidR="005E6255" w:rsidRPr="00503A01" w:rsidRDefault="005E6255" w:rsidP="0060270A">
      <w:pPr>
        <w:spacing w:after="0" w:line="240" w:lineRule="auto"/>
        <w:jc w:val="both"/>
        <w:rPr>
          <w:rFonts w:ascii="Times New Roman" w:hAnsi="Times New Roman" w:cs="Times New Roman"/>
          <w:b/>
          <w:bCs/>
          <w:sz w:val="24"/>
          <w:szCs w:val="24"/>
        </w:rPr>
      </w:pPr>
    </w:p>
    <w:p w14:paraId="66C738D0" w14:textId="2B4C3996" w:rsidR="0060270A" w:rsidRPr="00503A01" w:rsidRDefault="0060270A" w:rsidP="0060270A">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lastRenderedPageBreak/>
        <w:t xml:space="preserve">Qëllimi i paraqitjes së këtyre episodeve nuk është vetëm evidentimi i veprave penale të mundshme dhe i përgjegjësisë individuale të autorëve materialë. Shtrirja e tyre në </w:t>
      </w:r>
      <w:r w:rsidR="005E6255" w:rsidRPr="00503A01">
        <w:rPr>
          <w:rFonts w:ascii="Times New Roman" w:hAnsi="Times New Roman" w:cs="Times New Roman"/>
          <w:bCs/>
          <w:sz w:val="24"/>
          <w:szCs w:val="24"/>
        </w:rPr>
        <w:t>shum</w:t>
      </w:r>
      <w:r w:rsidR="00F11591" w:rsidRPr="00503A01">
        <w:rPr>
          <w:rFonts w:ascii="Times New Roman" w:hAnsi="Times New Roman" w:cs="Times New Roman"/>
          <w:bCs/>
          <w:sz w:val="24"/>
          <w:szCs w:val="24"/>
        </w:rPr>
        <w:t>ë</w:t>
      </w:r>
      <w:r w:rsidR="005E6255" w:rsidRPr="00503A01">
        <w:rPr>
          <w:rFonts w:ascii="Times New Roman" w:hAnsi="Times New Roman" w:cs="Times New Roman"/>
          <w:bCs/>
          <w:sz w:val="24"/>
          <w:szCs w:val="24"/>
        </w:rPr>
        <w:t xml:space="preserve"> </w:t>
      </w:r>
      <w:r w:rsidRPr="00503A01">
        <w:rPr>
          <w:rFonts w:ascii="Times New Roman" w:hAnsi="Times New Roman" w:cs="Times New Roman"/>
          <w:bCs/>
          <w:sz w:val="24"/>
          <w:szCs w:val="24"/>
        </w:rPr>
        <w:t>ditë, vende dhe struktura të ndryshme policore krijon nevojën për të hetuar nëse ato përbëjnë shkelje të izoluara apo shfaqje të një praktike të organizuar, të urdhëruar ose të toleruar me vetëdije nga drejtuesit përgjegjës. Në këtë drejtim, rëndësi të veçantë ka identifikueshmëria individuale e efektivëve, mundësia e dokumentimit filmik të veprimeve të tyre dhe ekzistenca e mekanizmave efektivë për identifikimin dhe ndjekjen penale të autorëve të shkeljeve.</w:t>
      </w:r>
    </w:p>
    <w:p w14:paraId="21F0C445" w14:textId="77777777" w:rsidR="005E6255" w:rsidRPr="00503A01" w:rsidRDefault="005E6255" w:rsidP="0060270A">
      <w:pPr>
        <w:spacing w:after="0" w:line="240" w:lineRule="auto"/>
        <w:jc w:val="both"/>
        <w:rPr>
          <w:rFonts w:ascii="Times New Roman" w:hAnsi="Times New Roman" w:cs="Times New Roman"/>
          <w:bCs/>
          <w:sz w:val="24"/>
          <w:szCs w:val="24"/>
        </w:rPr>
      </w:pPr>
    </w:p>
    <w:p w14:paraId="03DB7096" w14:textId="2BE9D0EC" w:rsidR="0060270A" w:rsidRPr="00503A01" w:rsidRDefault="0060270A" w:rsidP="0060270A">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 xml:space="preserve">Për më tepër, episodet paraqiten për të hetuar nëse veprimet dhe mosveprimet e denoncuara, të marra së bashku, kanë shërbyer jo vetëm për të krijuar ose ruajtur kushte pandëshkueshmërie për autorët e dhunës, por edhe për të krijuar një klimë frike, intimidimi dhe pasigurie te qytetarët, me synim pengimin dhe dekurajimin e pjesëmarrjes së tyre në tubime e manifestime paqësore, në kuptim të nenit 261 të Kodit Penal. Për këtë arsye kërkohet që episodet e paraqitura në </w:t>
      </w:r>
      <w:r w:rsidR="005E6255" w:rsidRPr="00503A01">
        <w:rPr>
          <w:rFonts w:ascii="Times New Roman" w:hAnsi="Times New Roman" w:cs="Times New Roman"/>
          <w:bCs/>
          <w:sz w:val="24"/>
          <w:szCs w:val="24"/>
        </w:rPr>
        <w:t>ANEKSIN</w:t>
      </w:r>
      <w:r w:rsidRPr="00503A01">
        <w:rPr>
          <w:rFonts w:ascii="Times New Roman" w:hAnsi="Times New Roman" w:cs="Times New Roman"/>
          <w:bCs/>
          <w:sz w:val="24"/>
          <w:szCs w:val="24"/>
        </w:rPr>
        <w:t xml:space="preserve"> 2 të administrohen dhe verifikohen si individualisht, ashtu edhe në lidhje me njëri-tjetrin, duke hetuar përgjegjësinë e mundshme të personave që kanë planifikuar, organizuar, urdhëruar, drejtuar ose kontrolluar operacionet policore.</w:t>
      </w:r>
    </w:p>
    <w:p w14:paraId="39A6FC2F" w14:textId="77777777" w:rsidR="0060270A" w:rsidRPr="00503A01" w:rsidRDefault="0060270A" w:rsidP="00184738">
      <w:pPr>
        <w:spacing w:after="0" w:line="240" w:lineRule="auto"/>
        <w:jc w:val="both"/>
        <w:rPr>
          <w:rFonts w:ascii="Times New Roman" w:hAnsi="Times New Roman" w:cs="Times New Roman"/>
          <w:bCs/>
          <w:sz w:val="24"/>
          <w:szCs w:val="24"/>
        </w:rPr>
      </w:pPr>
    </w:p>
    <w:p w14:paraId="77D83B07" w14:textId="77777777" w:rsidR="005B79B4" w:rsidRPr="00503A01" w:rsidRDefault="005B79B4" w:rsidP="00184738">
      <w:pPr>
        <w:spacing w:after="0" w:line="240" w:lineRule="auto"/>
        <w:jc w:val="both"/>
        <w:rPr>
          <w:rFonts w:ascii="Times New Roman" w:hAnsi="Times New Roman" w:cs="Times New Roman"/>
          <w:bCs/>
          <w:sz w:val="24"/>
          <w:szCs w:val="24"/>
        </w:rPr>
      </w:pPr>
    </w:p>
    <w:p w14:paraId="00616D0F" w14:textId="2024556B" w:rsidR="004A5027" w:rsidRPr="00503A01" w:rsidRDefault="004A5027" w:rsidP="005E6255">
      <w:pPr>
        <w:pStyle w:val="ListParagraph"/>
        <w:numPr>
          <w:ilvl w:val="0"/>
          <w:numId w:val="37"/>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PENGESAT PËR IDENTIFIKIMIN E AUTORËVE DHE DOKUMENTIMIN E VEPRIMEVE POLICORE</w:t>
      </w:r>
    </w:p>
    <w:p w14:paraId="5C013DB3" w14:textId="77777777" w:rsidR="00485AF1" w:rsidRPr="00503A01" w:rsidRDefault="00485AF1" w:rsidP="004A5027">
      <w:pPr>
        <w:pStyle w:val="ListParagraph"/>
        <w:spacing w:after="0" w:line="240" w:lineRule="auto"/>
        <w:ind w:left="1080"/>
        <w:jc w:val="both"/>
        <w:rPr>
          <w:rFonts w:ascii="Times New Roman" w:hAnsi="Times New Roman" w:cs="Times New Roman"/>
          <w:b/>
          <w:bCs/>
          <w:sz w:val="24"/>
          <w:szCs w:val="24"/>
          <w:lang w:val="de-AT"/>
        </w:rPr>
      </w:pPr>
    </w:p>
    <w:p w14:paraId="34A18F86" w14:textId="5589819F"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Krijimi i kushteve që pamundësojnë identifikimin dhe hetimin efektiv</w:t>
      </w:r>
    </w:p>
    <w:p w14:paraId="0D9984D4" w14:textId="77777777" w:rsidR="004A5027" w:rsidRPr="00503A01" w:rsidRDefault="004A5027" w:rsidP="004A5027">
      <w:pPr>
        <w:pStyle w:val="ListParagraph"/>
        <w:spacing w:after="0" w:line="240" w:lineRule="auto"/>
        <w:jc w:val="both"/>
        <w:rPr>
          <w:rFonts w:ascii="Times New Roman" w:hAnsi="Times New Roman" w:cs="Times New Roman"/>
          <w:b/>
          <w:bCs/>
          <w:sz w:val="24"/>
          <w:szCs w:val="24"/>
          <w:lang w:val="de-AT"/>
        </w:rPr>
      </w:pPr>
    </w:p>
    <w:p w14:paraId="3E9A91A0" w14:textId="523367DE" w:rsidR="00D927B8" w:rsidRPr="00503A01" w:rsidRDefault="00D927B8" w:rsidP="00D927B8">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Nga episodet e paraqitura në A</w:t>
      </w:r>
      <w:r w:rsidR="005347C8" w:rsidRPr="00503A01">
        <w:rPr>
          <w:rFonts w:ascii="Times New Roman" w:hAnsi="Times New Roman" w:cs="Times New Roman"/>
          <w:bCs/>
          <w:sz w:val="24"/>
          <w:szCs w:val="24"/>
          <w:lang w:val="de-AT"/>
        </w:rPr>
        <w:t xml:space="preserve">neksin </w:t>
      </w:r>
      <w:r w:rsidRPr="00503A01">
        <w:rPr>
          <w:rFonts w:ascii="Times New Roman" w:hAnsi="Times New Roman" w:cs="Times New Roman"/>
          <w:bCs/>
          <w:sz w:val="24"/>
          <w:szCs w:val="24"/>
          <w:lang w:val="de-AT"/>
        </w:rPr>
        <w:t xml:space="preserve">2 të këtij kallëzimi, dalin dy problematika të përsëritura: </w:t>
      </w:r>
      <w:r w:rsidRPr="00503A01">
        <w:rPr>
          <w:rFonts w:ascii="Times New Roman" w:hAnsi="Times New Roman" w:cs="Times New Roman"/>
          <w:b/>
          <w:bCs/>
          <w:i/>
          <w:sz w:val="24"/>
          <w:szCs w:val="24"/>
          <w:lang w:val="de-AT"/>
        </w:rPr>
        <w:t>dislokimi i efektivëve me fytyra të mbuluara, pa shenja individuale identifikimi të dukshme, dhe pengimi i gazetarëve e qytetarëve për të dokumentuar veprimet policore</w:t>
      </w:r>
      <w:r w:rsidRPr="00503A01">
        <w:rPr>
          <w:rFonts w:ascii="Times New Roman" w:hAnsi="Times New Roman" w:cs="Times New Roman"/>
          <w:bCs/>
          <w:i/>
          <w:sz w:val="24"/>
          <w:szCs w:val="24"/>
          <w:lang w:val="de-AT"/>
        </w:rPr>
        <w:t>,</w:t>
      </w:r>
      <w:r w:rsidRPr="00503A01">
        <w:rPr>
          <w:rFonts w:ascii="Times New Roman" w:hAnsi="Times New Roman" w:cs="Times New Roman"/>
          <w:bCs/>
          <w:sz w:val="24"/>
          <w:szCs w:val="24"/>
          <w:lang w:val="de-AT"/>
        </w:rPr>
        <w:t xml:space="preserve"> përfshirë kufizimet e pajustifikuara të filmimit, ndërhyrjet fizike dhe rastet e pretenduara të marrjes ose fshirjes së regjistrimeve. Të kombinuara me mangësitë eventuale në dokumentacionin operacional dhe ruajtjen e provave, këto praktika mund të pamundësojnë identifikimin e autorëve dhe zhvillimin e një hetimi efektiv.</w:t>
      </w:r>
    </w:p>
    <w:p w14:paraId="67F57715" w14:textId="77777777" w:rsidR="009D7E83" w:rsidRPr="00503A01" w:rsidRDefault="009D7E83" w:rsidP="00D927B8">
      <w:pPr>
        <w:spacing w:after="0" w:line="240" w:lineRule="auto"/>
        <w:jc w:val="both"/>
        <w:rPr>
          <w:rFonts w:ascii="Times New Roman" w:hAnsi="Times New Roman" w:cs="Times New Roman"/>
          <w:bCs/>
          <w:sz w:val="24"/>
          <w:szCs w:val="24"/>
          <w:lang w:val="de-AT"/>
        </w:rPr>
      </w:pPr>
    </w:p>
    <w:p w14:paraId="4AD18FF4" w14:textId="360B3B7A" w:rsidR="00D927B8" w:rsidRPr="00503A01" w:rsidRDefault="00D927B8" w:rsidP="00D927B8">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Kërkohet të hetohet nëse këto pengesa kanë ardhur nga shkelje individuale ose mangësi organizative, apo janë krijuar, lejuar ose ruajtur qëllimisht nga drejtuesit përgjegjës. Në hipotezën e fundit, </w:t>
      </w:r>
      <w:r w:rsidRPr="00503A01">
        <w:rPr>
          <w:rFonts w:ascii="Times New Roman" w:hAnsi="Times New Roman" w:cs="Times New Roman"/>
          <w:b/>
          <w:bCs/>
          <w:i/>
          <w:sz w:val="24"/>
          <w:szCs w:val="24"/>
          <w:lang w:val="de-AT"/>
        </w:rPr>
        <w:t>pandëshkueshmëria nuk do të ishte thjesht pasojë e mungesës së provave, por rezultat i synuar i një mekanizmi që lehtëson kryerjen e veprave penale</w:t>
      </w:r>
      <w:r w:rsidRPr="00503A01">
        <w:rPr>
          <w:rFonts w:ascii="Times New Roman" w:hAnsi="Times New Roman" w:cs="Times New Roman"/>
          <w:bCs/>
          <w:i/>
          <w:sz w:val="24"/>
          <w:szCs w:val="24"/>
          <w:lang w:val="de-AT"/>
        </w:rPr>
        <w:t>,</w:t>
      </w:r>
      <w:r w:rsidRPr="00503A01">
        <w:rPr>
          <w:rFonts w:ascii="Times New Roman" w:hAnsi="Times New Roman" w:cs="Times New Roman"/>
          <w:bCs/>
          <w:sz w:val="24"/>
          <w:szCs w:val="24"/>
          <w:lang w:val="de-AT"/>
        </w:rPr>
        <w:t xml:space="preserve"> duke mundësuar përdorimin e dhunës pa rrezikun efektiv të ndëshkimit dhe, eventualisht, duke shërbyer për frikësimin dhe dekurajimin e pjesëmarrjes në protesta paqësore.</w:t>
      </w:r>
    </w:p>
    <w:p w14:paraId="74ADD91D" w14:textId="77777777" w:rsidR="009D7E83" w:rsidRPr="00503A01" w:rsidRDefault="009D7E83" w:rsidP="00D927B8">
      <w:pPr>
        <w:spacing w:after="0" w:line="240" w:lineRule="auto"/>
        <w:jc w:val="both"/>
        <w:rPr>
          <w:rFonts w:ascii="Times New Roman" w:hAnsi="Times New Roman" w:cs="Times New Roman"/>
          <w:bCs/>
          <w:sz w:val="24"/>
          <w:szCs w:val="24"/>
          <w:lang w:val="de-AT"/>
        </w:rPr>
      </w:pPr>
    </w:p>
    <w:p w14:paraId="648C528A" w14:textId="4EE65092" w:rsidR="00D927B8" w:rsidRPr="00503A01" w:rsidRDefault="00D927B8" w:rsidP="00D927B8">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Për këtë arsye, hetimi duhet të përcaktojë përgjegjësinë e personave që kanë organizuar dhe kontrolluar operacionet, detyrimet e tyre për garantimin e identifikueshmërisë dhe dokumentimit, si dhe veprimet ose mosveprimet që mund të kenë krijuar apo ruajtur këto pengesa.</w:t>
      </w:r>
    </w:p>
    <w:p w14:paraId="08605D75"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0F13F06E" w14:textId="44960107"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Detyrimi ligjor për identifikimin individual të efektivëve</w:t>
      </w:r>
    </w:p>
    <w:p w14:paraId="31C3EE34" w14:textId="77777777" w:rsidR="00D032A7" w:rsidRPr="00503A01" w:rsidRDefault="00D032A7" w:rsidP="00D032A7">
      <w:pPr>
        <w:pStyle w:val="ListParagraph"/>
        <w:spacing w:after="0" w:line="240" w:lineRule="auto"/>
        <w:jc w:val="both"/>
        <w:rPr>
          <w:rFonts w:ascii="Times New Roman" w:hAnsi="Times New Roman" w:cs="Times New Roman"/>
          <w:b/>
          <w:bCs/>
          <w:sz w:val="24"/>
          <w:szCs w:val="24"/>
        </w:rPr>
      </w:pPr>
    </w:p>
    <w:p w14:paraId="3E39C87A" w14:textId="77777777" w:rsidR="005366E7" w:rsidRPr="00503A01" w:rsidRDefault="005366E7" w:rsidP="005366E7">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 xml:space="preserve">Neni 10, pikat 2 dhe 5, i ligjit nr. 82/2024, “Për Policinë e Shtetit”, parashikon detyrimin e punonjësit të policisë për t'u identifikuar përpara zbatimit të masave ndaj shtetasve, si dhe kompetencën e Drejtorit të Përgjithshëm për miratimin e procedurave të identifikimit dhe dokumentimit. Gjithashtu, VKM nr. 294, datë 28.05.2025, pika 5, shkronja “ll”, parashikon shenjën e mbiemrit ose numrit të identifikimit (RMIS), ndërsa neni 110, pika 6, shkronja “b”, </w:t>
      </w:r>
      <w:r w:rsidRPr="00503A01">
        <w:rPr>
          <w:rFonts w:ascii="Times New Roman" w:hAnsi="Times New Roman" w:cs="Times New Roman"/>
          <w:bCs/>
          <w:sz w:val="24"/>
          <w:szCs w:val="24"/>
        </w:rPr>
        <w:lastRenderedPageBreak/>
        <w:t>i Rregullores së Policisë së Shtetit, miratuar me VKM nr. 112, datë 24.02.2025, ndalon heqjen e shenjave dalluese nga uniforma.</w:t>
      </w:r>
    </w:p>
    <w:p w14:paraId="581B6661" w14:textId="77777777" w:rsidR="005366E7" w:rsidRPr="00503A01" w:rsidRDefault="005366E7" w:rsidP="005366E7">
      <w:pPr>
        <w:spacing w:after="0" w:line="240" w:lineRule="auto"/>
        <w:jc w:val="both"/>
        <w:rPr>
          <w:rFonts w:ascii="Times New Roman" w:hAnsi="Times New Roman" w:cs="Times New Roman"/>
          <w:bCs/>
          <w:sz w:val="24"/>
          <w:szCs w:val="24"/>
        </w:rPr>
      </w:pPr>
    </w:p>
    <w:p w14:paraId="49CCCDD5" w14:textId="0357BDDD" w:rsidR="005366E7" w:rsidRPr="00503A01" w:rsidRDefault="005366E7" w:rsidP="005366E7">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Për këtë arsye, duhet të hetohet nëse efektivët janë dislokuar pa identifikues individualë ose me identifikues të hequr apo të mbuluar, si dhe nëse pajisjet mbrojtëse dhe procedurat përkatëse garantonin identifikueshmërinë e tyre. Në veçanti, duhet të përcaktohet nëse mungesa e identifikuesve ka ardhur nga shkelje individuale të efektivëve, nga mënyra e pajisjes dhe organizimit të njësive, apo nga urdhra ose tolerimi i vetëdijshëm i drejtuesve përgjegjës, duke verifikuar dijeninë e tyre dhe masat e marra për korrigjimin e praktikës.</w:t>
      </w:r>
    </w:p>
    <w:p w14:paraId="1027817E" w14:textId="77777777" w:rsidR="00485AF1" w:rsidRPr="00503A01" w:rsidRDefault="00485AF1" w:rsidP="004A5027">
      <w:pPr>
        <w:spacing w:after="0" w:line="240" w:lineRule="auto"/>
        <w:jc w:val="both"/>
        <w:rPr>
          <w:rFonts w:ascii="Times New Roman" w:hAnsi="Times New Roman" w:cs="Times New Roman"/>
          <w:bCs/>
          <w:sz w:val="24"/>
          <w:szCs w:val="24"/>
        </w:rPr>
      </w:pPr>
    </w:p>
    <w:p w14:paraId="6634E53B" w14:textId="0E591131"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Mbulimi i fytyrës dhe dallimi ndërmjet anonimitetit të ligjshëm dhe mosidentifikueshmërisë</w:t>
      </w:r>
    </w:p>
    <w:p w14:paraId="38EA44AA" w14:textId="77777777" w:rsidR="00393D09" w:rsidRPr="00503A01" w:rsidRDefault="00393D09" w:rsidP="00393D09">
      <w:pPr>
        <w:pStyle w:val="ListParagraph"/>
        <w:spacing w:after="0" w:line="240" w:lineRule="auto"/>
        <w:jc w:val="both"/>
        <w:rPr>
          <w:rFonts w:ascii="Times New Roman" w:hAnsi="Times New Roman" w:cs="Times New Roman"/>
          <w:b/>
          <w:bCs/>
          <w:sz w:val="24"/>
          <w:szCs w:val="24"/>
        </w:rPr>
      </w:pPr>
    </w:p>
    <w:p w14:paraId="17175D4D" w14:textId="35A5371C" w:rsidR="00515F86" w:rsidRPr="00503A01" w:rsidRDefault="00515F86" w:rsidP="00515F86">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 xml:space="preserve">Përdorimi i maskave dhe skafandrave nga policia mund të jetë i ligjshëm, ndërsa neni 34, pika 2, i ligjit nr. 82/2024 garanton fshehtësinë e identitetit të punonjësve të strukturave të posaçme për veprimtarinë operacionale. Megjithatë, </w:t>
      </w:r>
      <w:r w:rsidRPr="00503A01">
        <w:rPr>
          <w:rFonts w:ascii="Times New Roman" w:hAnsi="Times New Roman" w:cs="Times New Roman"/>
          <w:b/>
          <w:bCs/>
          <w:i/>
          <w:sz w:val="24"/>
          <w:szCs w:val="24"/>
        </w:rPr>
        <w:t xml:space="preserve">anonimiteti ndaj publikut nuk </w:t>
      </w:r>
      <w:r w:rsidR="00F11591" w:rsidRPr="00503A01">
        <w:rPr>
          <w:rFonts w:ascii="Times New Roman" w:hAnsi="Times New Roman" w:cs="Times New Roman"/>
          <w:b/>
          <w:bCs/>
          <w:i/>
          <w:sz w:val="24"/>
          <w:szCs w:val="24"/>
        </w:rPr>
        <w:t>ë</w:t>
      </w:r>
      <w:r w:rsidR="007571B5" w:rsidRPr="00503A01">
        <w:rPr>
          <w:rFonts w:ascii="Times New Roman" w:hAnsi="Times New Roman" w:cs="Times New Roman"/>
          <w:b/>
          <w:bCs/>
          <w:i/>
          <w:sz w:val="24"/>
          <w:szCs w:val="24"/>
        </w:rPr>
        <w:t>sht</w:t>
      </w:r>
      <w:r w:rsidR="00F11591" w:rsidRPr="00503A01">
        <w:rPr>
          <w:rFonts w:ascii="Times New Roman" w:hAnsi="Times New Roman" w:cs="Times New Roman"/>
          <w:b/>
          <w:bCs/>
          <w:i/>
          <w:sz w:val="24"/>
          <w:szCs w:val="24"/>
        </w:rPr>
        <w:t>ë</w:t>
      </w:r>
      <w:r w:rsidR="007571B5" w:rsidRPr="00503A01">
        <w:rPr>
          <w:rFonts w:ascii="Times New Roman" w:hAnsi="Times New Roman" w:cs="Times New Roman"/>
          <w:b/>
          <w:bCs/>
          <w:i/>
          <w:sz w:val="24"/>
          <w:szCs w:val="24"/>
        </w:rPr>
        <w:t xml:space="preserve"> e nj</w:t>
      </w:r>
      <w:r w:rsidR="00F11591" w:rsidRPr="00503A01">
        <w:rPr>
          <w:rFonts w:ascii="Times New Roman" w:hAnsi="Times New Roman" w:cs="Times New Roman"/>
          <w:b/>
          <w:bCs/>
          <w:i/>
          <w:sz w:val="24"/>
          <w:szCs w:val="24"/>
        </w:rPr>
        <w:t>ë</w:t>
      </w:r>
      <w:r w:rsidR="007571B5" w:rsidRPr="00503A01">
        <w:rPr>
          <w:rFonts w:ascii="Times New Roman" w:hAnsi="Times New Roman" w:cs="Times New Roman"/>
          <w:b/>
          <w:bCs/>
          <w:i/>
          <w:sz w:val="24"/>
          <w:szCs w:val="24"/>
        </w:rPr>
        <w:t>jta gj</w:t>
      </w:r>
      <w:r w:rsidR="00F11591" w:rsidRPr="00503A01">
        <w:rPr>
          <w:rFonts w:ascii="Times New Roman" w:hAnsi="Times New Roman" w:cs="Times New Roman"/>
          <w:b/>
          <w:bCs/>
          <w:i/>
          <w:sz w:val="24"/>
          <w:szCs w:val="24"/>
        </w:rPr>
        <w:t>ë</w:t>
      </w:r>
      <w:r w:rsidR="007571B5" w:rsidRPr="00503A01">
        <w:rPr>
          <w:rFonts w:ascii="Times New Roman" w:hAnsi="Times New Roman" w:cs="Times New Roman"/>
          <w:b/>
          <w:bCs/>
          <w:i/>
          <w:sz w:val="24"/>
          <w:szCs w:val="24"/>
        </w:rPr>
        <w:t xml:space="preserve"> me </w:t>
      </w:r>
      <w:r w:rsidRPr="00503A01">
        <w:rPr>
          <w:rFonts w:ascii="Times New Roman" w:hAnsi="Times New Roman" w:cs="Times New Roman"/>
          <w:b/>
          <w:bCs/>
          <w:i/>
          <w:sz w:val="24"/>
          <w:szCs w:val="24"/>
        </w:rPr>
        <w:t>pamundësinë e identifikimit nga organet hetimore</w:t>
      </w:r>
      <w:r w:rsidRPr="00503A01">
        <w:rPr>
          <w:rFonts w:ascii="Times New Roman" w:hAnsi="Times New Roman" w:cs="Times New Roman"/>
          <w:b/>
          <w:bCs/>
          <w:sz w:val="24"/>
          <w:szCs w:val="24"/>
        </w:rPr>
        <w:t>.</w:t>
      </w:r>
      <w:r w:rsidRPr="00503A01">
        <w:rPr>
          <w:rFonts w:ascii="Times New Roman" w:hAnsi="Times New Roman" w:cs="Times New Roman"/>
          <w:bCs/>
          <w:sz w:val="24"/>
          <w:szCs w:val="24"/>
        </w:rPr>
        <w:t xml:space="preserve"> Në çështjen </w:t>
      </w:r>
      <w:r w:rsidRPr="00503A01">
        <w:rPr>
          <w:rFonts w:ascii="Times New Roman" w:hAnsi="Times New Roman" w:cs="Times New Roman"/>
          <w:bCs/>
          <w:i/>
          <w:iCs/>
          <w:sz w:val="24"/>
          <w:szCs w:val="24"/>
        </w:rPr>
        <w:t>Hentschel dhe Stark kundër Gjermanisë</w:t>
      </w:r>
      <w:r w:rsidRPr="00503A01">
        <w:rPr>
          <w:rFonts w:ascii="Times New Roman" w:hAnsi="Times New Roman" w:cs="Times New Roman"/>
          <w:bCs/>
          <w:sz w:val="24"/>
          <w:szCs w:val="24"/>
        </w:rPr>
        <w:t>, GJEDNJ ka theksuar rëndësinë e shenjave individuale, si numrat e identifikimit, që mundësojnë identifikimin dhe pyetjen e efektivëve të maskuar, duke ruajtur njëkohësisht anonimitetin e tyre publik.</w:t>
      </w:r>
      <w:r w:rsidR="007571B5" w:rsidRPr="00503A01">
        <w:rPr>
          <w:rStyle w:val="FootnoteReference"/>
          <w:rFonts w:ascii="Times New Roman" w:hAnsi="Times New Roman" w:cs="Times New Roman"/>
          <w:bCs/>
          <w:sz w:val="24"/>
          <w:szCs w:val="24"/>
        </w:rPr>
        <w:footnoteReference w:id="3"/>
      </w:r>
    </w:p>
    <w:p w14:paraId="2B2E26AD" w14:textId="77777777" w:rsidR="007571B5" w:rsidRPr="00503A01" w:rsidRDefault="007571B5" w:rsidP="00515F86">
      <w:pPr>
        <w:spacing w:after="0" w:line="240" w:lineRule="auto"/>
        <w:jc w:val="both"/>
        <w:rPr>
          <w:rFonts w:ascii="Times New Roman" w:hAnsi="Times New Roman" w:cs="Times New Roman"/>
          <w:bCs/>
          <w:sz w:val="24"/>
          <w:szCs w:val="24"/>
        </w:rPr>
      </w:pPr>
    </w:p>
    <w:p w14:paraId="76630B64" w14:textId="030D2AC3" w:rsidR="00515F86" w:rsidRPr="00503A01" w:rsidRDefault="00515F86" w:rsidP="00515F86">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 xml:space="preserve">Për rrjedhojë, problemi që kërkon hetim nuk është mbulimi i fytyrës, por </w:t>
      </w:r>
      <w:r w:rsidRPr="00503A01">
        <w:rPr>
          <w:rFonts w:ascii="Times New Roman" w:hAnsi="Times New Roman" w:cs="Times New Roman"/>
          <w:b/>
          <w:bCs/>
          <w:i/>
          <w:sz w:val="24"/>
          <w:szCs w:val="24"/>
        </w:rPr>
        <w:t>dislokimi i efektivëve në kushte që pamundësojnë lidhjen e veprimeve të kryera në terren me autorët konkretë</w:t>
      </w:r>
      <w:r w:rsidRPr="00503A01">
        <w:rPr>
          <w:rFonts w:ascii="Times New Roman" w:hAnsi="Times New Roman" w:cs="Times New Roman"/>
          <w:bCs/>
          <w:sz w:val="24"/>
          <w:szCs w:val="24"/>
        </w:rPr>
        <w:t>, qoftë për mungesë të identifikuesve individualë, qoftë për mungesë të regjistrave që lidhin efektivët me shenjat, pajisjet dhe pozicionet e tyre. Për këtë qëllim kërkohet administrimi i procedurave të posaçme, të miratuara në zbatim të nenit 34, pika 3, të ligjit nr. 82/2024, dhe verifikimi nëse ato garantojnë gjurmueshmërinë individuale gjatë operacioneve.</w:t>
      </w:r>
    </w:p>
    <w:p w14:paraId="748F3D52" w14:textId="77777777" w:rsidR="00252141" w:rsidRPr="00503A01" w:rsidRDefault="00252141" w:rsidP="004A5027">
      <w:pPr>
        <w:spacing w:after="0" w:line="240" w:lineRule="auto"/>
        <w:jc w:val="both"/>
        <w:rPr>
          <w:rFonts w:ascii="Times New Roman" w:hAnsi="Times New Roman" w:cs="Times New Roman"/>
          <w:b/>
          <w:bCs/>
          <w:sz w:val="24"/>
          <w:szCs w:val="24"/>
        </w:rPr>
      </w:pPr>
    </w:p>
    <w:p w14:paraId="7BD6A190" w14:textId="6700C983"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Mungesa e identifikuesve si fenomen i përsëritur edhe jashtë operacioneve në terren</w:t>
      </w:r>
    </w:p>
    <w:p w14:paraId="77AA9AC7" w14:textId="77777777" w:rsidR="00252141" w:rsidRPr="00503A01" w:rsidRDefault="00252141" w:rsidP="00252141">
      <w:pPr>
        <w:pStyle w:val="ListParagraph"/>
        <w:spacing w:after="0" w:line="240" w:lineRule="auto"/>
        <w:jc w:val="both"/>
        <w:rPr>
          <w:rFonts w:ascii="Times New Roman" w:hAnsi="Times New Roman" w:cs="Times New Roman"/>
          <w:b/>
          <w:bCs/>
          <w:sz w:val="24"/>
          <w:szCs w:val="24"/>
          <w:lang w:val="de-AT"/>
        </w:rPr>
      </w:pPr>
    </w:p>
    <w:p w14:paraId="63BA7B51" w14:textId="55B97C4B" w:rsidR="00356B19" w:rsidRPr="00503A01" w:rsidRDefault="00356B19" w:rsidP="00356B19">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Problematika e identifikimit nuk është kufizuar te efektivët me pajisje antitrazirë. Më 16.10.2026, Avokati i Popullit raportoi ankesa për punonjës policie me veshje civile pa shenja identifikuese, duke kërkuar garantimin e identifikimit gjatë çdo operacioni.</w:t>
      </w:r>
      <w:r w:rsidR="00E94A29" w:rsidRPr="00503A01">
        <w:rPr>
          <w:rStyle w:val="FootnoteReference"/>
          <w:rFonts w:ascii="Times New Roman" w:hAnsi="Times New Roman" w:cs="Times New Roman"/>
          <w:bCs/>
          <w:sz w:val="24"/>
          <w:szCs w:val="24"/>
          <w:lang w:val="de-AT"/>
        </w:rPr>
        <w:footnoteReference w:id="4"/>
      </w:r>
      <w:r w:rsidRPr="00503A01">
        <w:rPr>
          <w:rFonts w:ascii="Times New Roman" w:hAnsi="Times New Roman" w:cs="Times New Roman"/>
          <w:bCs/>
          <w:sz w:val="24"/>
          <w:szCs w:val="24"/>
          <w:lang w:val="de-AT"/>
        </w:rPr>
        <w:t xml:space="preserve"> Më 20.10.2026, institucioni njoftoi se kishte evidentuar </w:t>
      </w:r>
      <w:r w:rsidRPr="00503A01">
        <w:rPr>
          <w:rFonts w:ascii="Times New Roman" w:hAnsi="Times New Roman" w:cs="Times New Roman"/>
          <w:b/>
          <w:bCs/>
          <w:i/>
          <w:sz w:val="24"/>
          <w:szCs w:val="24"/>
          <w:lang w:val="de-AT"/>
        </w:rPr>
        <w:t>punonjës pa numra identifikimi edhe brenda komisariateve nr. 2 dhe nr. 4 në Tiranë</w:t>
      </w:r>
      <w:r w:rsidRPr="00503A01">
        <w:rPr>
          <w:rFonts w:ascii="Times New Roman" w:hAnsi="Times New Roman" w:cs="Times New Roman"/>
          <w:bCs/>
          <w:sz w:val="24"/>
          <w:szCs w:val="24"/>
          <w:lang w:val="de-AT"/>
        </w:rPr>
        <w:t>, si dhe mangësi në regjistrat e shoqërimit.</w:t>
      </w:r>
      <w:r w:rsidR="00E94A29" w:rsidRPr="00503A01">
        <w:rPr>
          <w:rStyle w:val="FootnoteReference"/>
          <w:rFonts w:ascii="Times New Roman" w:hAnsi="Times New Roman" w:cs="Times New Roman"/>
          <w:bCs/>
          <w:sz w:val="24"/>
          <w:szCs w:val="24"/>
          <w:lang w:val="de-AT"/>
        </w:rPr>
        <w:footnoteReference w:id="5"/>
      </w:r>
    </w:p>
    <w:p w14:paraId="2BE6C16F" w14:textId="77777777" w:rsidR="00356B19" w:rsidRPr="00503A01" w:rsidRDefault="00356B19" w:rsidP="00356B19">
      <w:pPr>
        <w:spacing w:after="0" w:line="240" w:lineRule="auto"/>
        <w:jc w:val="both"/>
        <w:rPr>
          <w:rFonts w:ascii="Times New Roman" w:hAnsi="Times New Roman" w:cs="Times New Roman"/>
          <w:bCs/>
          <w:sz w:val="24"/>
          <w:szCs w:val="24"/>
          <w:lang w:val="de-AT"/>
        </w:rPr>
      </w:pPr>
    </w:p>
    <w:p w14:paraId="0419C3DF" w14:textId="77777777" w:rsidR="00356B19" w:rsidRPr="00503A01" w:rsidRDefault="00356B19" w:rsidP="00356B19">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Këto gjetje ngrenë dyshime për një problem më të gjerë se përdorimi i maskave dhe skafandrave gjatë ndërhyrjeve në terren. Për këtë arsye, duhet të hetohet nëse mungesa e identifikuesve përbën një praktikë të përsëritur edhe në struktura të tjera policore, si dhe çfarë masash kanë marrë drejtuesit për garantimin e identifikueshmërisë së punonjësve dhe korrigjimin e shkeljeve.</w:t>
      </w:r>
    </w:p>
    <w:p w14:paraId="1108533E" w14:textId="77777777" w:rsidR="00485AF1" w:rsidRPr="00503A01" w:rsidRDefault="00485AF1" w:rsidP="004A5027">
      <w:pPr>
        <w:spacing w:after="0" w:line="240" w:lineRule="auto"/>
        <w:jc w:val="both"/>
        <w:rPr>
          <w:rFonts w:ascii="Times New Roman" w:hAnsi="Times New Roman" w:cs="Times New Roman"/>
          <w:bCs/>
          <w:sz w:val="24"/>
          <w:szCs w:val="24"/>
          <w:lang w:val="de-AT"/>
        </w:rPr>
      </w:pPr>
    </w:p>
    <w:p w14:paraId="79F3BED4" w14:textId="3EF293CB"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lastRenderedPageBreak/>
        <w:t>Mungesa e mundshme e gjurmueshmërisë së efektivëve në dokumentacionin operacional</w:t>
      </w:r>
    </w:p>
    <w:p w14:paraId="691AA9D7" w14:textId="77777777" w:rsidR="009C4A7F" w:rsidRPr="00503A01" w:rsidRDefault="009C4A7F" w:rsidP="009C4A7F">
      <w:pPr>
        <w:pStyle w:val="ListParagraph"/>
        <w:spacing w:after="0" w:line="240" w:lineRule="auto"/>
        <w:jc w:val="both"/>
        <w:rPr>
          <w:rFonts w:ascii="Times New Roman" w:hAnsi="Times New Roman" w:cs="Times New Roman"/>
          <w:b/>
          <w:bCs/>
          <w:sz w:val="24"/>
          <w:szCs w:val="24"/>
          <w:lang w:val="de-AT"/>
        </w:rPr>
      </w:pPr>
    </w:p>
    <w:p w14:paraId="071E2567" w14:textId="77777777" w:rsidR="002F0D2B" w:rsidRPr="00503A01" w:rsidRDefault="002F0D2B" w:rsidP="002F0D2B">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Identifikimi i efektivëve të maskuar nuk duhet të varet vetëm nga mundësia e viktimës për t'i njohur, por duhet të garantohet përmes dokumentacionit operacional. Për këtë qëllim, kërkohet administrimi i listave emërore dhe regjistrave të dislokimit të njësive, evidencave të shpërndarjes së uniformave dhe pajisjeve, lidhjes ndërmjet identifikuesve individualë dhe punonjësve konkretë, regjistrave të pozicioneve dhe detyrave, urdhrave për ndryshimin e tyre, si dhe raporteve mbi përdorimin e forcës dhe zhvillimin e operacioneve. Veçanërisht duhet të verifikohet nëse shenjat në skafandra dhe pajisje identifikojnë efektivin konkret apo vetëm njësinë policore.</w:t>
      </w:r>
    </w:p>
    <w:p w14:paraId="62032BE4" w14:textId="77777777" w:rsidR="00E025DD" w:rsidRPr="00503A01" w:rsidRDefault="00E025DD" w:rsidP="002F0D2B">
      <w:pPr>
        <w:spacing w:after="0" w:line="240" w:lineRule="auto"/>
        <w:jc w:val="both"/>
        <w:rPr>
          <w:rFonts w:ascii="Times New Roman" w:hAnsi="Times New Roman" w:cs="Times New Roman"/>
          <w:bCs/>
          <w:sz w:val="24"/>
          <w:szCs w:val="24"/>
          <w:lang w:val="de-AT"/>
        </w:rPr>
      </w:pPr>
    </w:p>
    <w:p w14:paraId="2A8D9BC3" w14:textId="66B80826" w:rsidR="002F0D2B" w:rsidRPr="00503A01" w:rsidRDefault="002F0D2B" w:rsidP="002F0D2B">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Në çështjen </w:t>
      </w:r>
      <w:r w:rsidRPr="00503A01">
        <w:rPr>
          <w:rFonts w:ascii="Times New Roman" w:hAnsi="Times New Roman" w:cs="Times New Roman"/>
          <w:bCs/>
          <w:i/>
          <w:iCs/>
          <w:sz w:val="24"/>
          <w:szCs w:val="24"/>
          <w:lang w:val="de-AT"/>
        </w:rPr>
        <w:t>Dedovskiy dhe të Tjerë kundër Rusisë</w:t>
      </w:r>
      <w:r w:rsidRPr="00503A01">
        <w:rPr>
          <w:rFonts w:ascii="Times New Roman" w:hAnsi="Times New Roman" w:cs="Times New Roman"/>
          <w:bCs/>
          <w:sz w:val="24"/>
          <w:szCs w:val="24"/>
          <w:lang w:val="de-AT"/>
        </w:rPr>
        <w:t>, GJEDNJ i dha rëndësi jo vetëm mungesës së shenjave individuale, por edhe faktit se raportet e përdorimit të shkopinjve të gomës nuk përmbanin emrat e efektivëve që kishin kryer goditjet, duke kontribuar në krijimin e një situate pandëshkueshmërie.</w:t>
      </w:r>
      <w:r w:rsidR="00E025DD" w:rsidRPr="00503A01">
        <w:rPr>
          <w:rStyle w:val="FootnoteReference"/>
          <w:rFonts w:ascii="Times New Roman" w:hAnsi="Times New Roman" w:cs="Times New Roman"/>
          <w:bCs/>
          <w:sz w:val="24"/>
          <w:szCs w:val="24"/>
          <w:lang w:val="de-AT"/>
        </w:rPr>
        <w:footnoteReference w:id="6"/>
      </w:r>
    </w:p>
    <w:p w14:paraId="578457FB" w14:textId="77777777" w:rsidR="00E025DD" w:rsidRPr="00503A01" w:rsidRDefault="00E025DD" w:rsidP="002F0D2B">
      <w:pPr>
        <w:spacing w:after="0" w:line="240" w:lineRule="auto"/>
        <w:jc w:val="both"/>
        <w:rPr>
          <w:rFonts w:ascii="Times New Roman" w:hAnsi="Times New Roman" w:cs="Times New Roman"/>
          <w:bCs/>
          <w:sz w:val="24"/>
          <w:szCs w:val="24"/>
          <w:lang w:val="de-AT"/>
        </w:rPr>
      </w:pPr>
    </w:p>
    <w:p w14:paraId="159D5C49" w14:textId="2EB7AD69" w:rsidR="002F0D2B" w:rsidRPr="00503A01" w:rsidRDefault="002F0D2B" w:rsidP="002F0D2B">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Për rrjedhojë, duhet të përcaktohet nëse dokumentacioni operacional mundëson identifikimin e çdo efektivi dhe, në rast të mungesës së kësaj gjurmueshmërie, nëse shkaku lidhet me mangësi të procedurave, moszbatimin e tyre apo një vendimmarrje të qëllimshme për pengimin e identifikimit dhe hetimit të autorëve.</w:t>
      </w:r>
    </w:p>
    <w:p w14:paraId="264C5129"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4DF9B6A9" w14:textId="3055FD93"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Urdhrat operacionalë dhe detyrimi për dokumentimin e tyre</w:t>
      </w:r>
    </w:p>
    <w:p w14:paraId="63257DBF" w14:textId="77777777" w:rsidR="009D3A66" w:rsidRPr="00503A01" w:rsidRDefault="009D3A66" w:rsidP="009D3A66">
      <w:pPr>
        <w:pStyle w:val="ListParagraph"/>
        <w:spacing w:after="0" w:line="240" w:lineRule="auto"/>
        <w:jc w:val="both"/>
        <w:rPr>
          <w:rFonts w:ascii="Times New Roman" w:hAnsi="Times New Roman" w:cs="Times New Roman"/>
          <w:b/>
          <w:bCs/>
          <w:sz w:val="24"/>
          <w:szCs w:val="24"/>
          <w:lang w:val="de-AT"/>
        </w:rPr>
      </w:pPr>
    </w:p>
    <w:p w14:paraId="7525853D" w14:textId="77777777" w:rsidR="00E650B1" w:rsidRPr="00503A01" w:rsidRDefault="00E650B1" w:rsidP="00E650B1">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Nenet 144 dhe 145 të Rregullores së Policisë së Shtetit parashikojnë mënyrat e dhënies së urdhrave dhe, në rastet e përcaktuara prej tyre, detyrimin e sallës së komandimit për të administruar historikun e urdhrave verbalë të transmetuar përmes saj dhe zbatimin e tyre. Këto dispozita, veçanërisht neni 144, pika 2, dhe neni 145, pika 3, kanë rëndësi për identifikimin e përgjegjësisë së zinxhirit komandues.</w:t>
      </w:r>
    </w:p>
    <w:p w14:paraId="14629929" w14:textId="77777777" w:rsidR="00E650B1" w:rsidRPr="00503A01" w:rsidRDefault="00E650B1" w:rsidP="00E650B1">
      <w:pPr>
        <w:spacing w:after="0" w:line="240" w:lineRule="auto"/>
        <w:jc w:val="both"/>
        <w:rPr>
          <w:rFonts w:ascii="Times New Roman" w:hAnsi="Times New Roman" w:cs="Times New Roman"/>
          <w:bCs/>
          <w:sz w:val="24"/>
          <w:szCs w:val="24"/>
          <w:lang w:val="de-AT"/>
        </w:rPr>
      </w:pPr>
    </w:p>
    <w:p w14:paraId="3B7578F6" w14:textId="2FDB8AA5" w:rsidR="00E650B1" w:rsidRPr="00503A01" w:rsidRDefault="00E650B1" w:rsidP="00E650B1">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Për këtë arsye, kërkohet administrimi i urdhrave të shkruar dhe historikut të urdhrave verbalë të dokumentuar, për të përcaktuar kush ka urdhëruar dislokimin e efektivëve, përdorimin e forcës, krijimin e perimetrave të sigurisë dhe kufizimin e dokumentimit nga gazetarët, si dhe nëse kanë ekzistuar udhëzime të përbashkëta për disa njësi. Mungesa e dokumentimit të urdhrave, kur ai është ligjërisht i detyrueshëm, duhet të hetohet për të përcaktuar nëse ka ardhur nga mangësi organizative apo nga veprime ose mosveprime të qëllimshme për të penguar identifikimin e autorëve dhe përgjegjësinë e drejtuesve.</w:t>
      </w:r>
    </w:p>
    <w:p w14:paraId="15D8DDE5"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5645E2AB" w14:textId="17B46233"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Pengimi i gazetarëve dhe filmuesve si pengesë për krijimin e provave</w:t>
      </w:r>
    </w:p>
    <w:p w14:paraId="5F3F3A81" w14:textId="77777777" w:rsidR="009A1A51" w:rsidRPr="00503A01" w:rsidRDefault="009A1A51" w:rsidP="009A1A51">
      <w:pPr>
        <w:pStyle w:val="ListParagraph"/>
        <w:spacing w:after="0" w:line="240" w:lineRule="auto"/>
        <w:jc w:val="both"/>
        <w:rPr>
          <w:rFonts w:ascii="Times New Roman" w:hAnsi="Times New Roman" w:cs="Times New Roman"/>
          <w:b/>
          <w:bCs/>
          <w:sz w:val="24"/>
          <w:szCs w:val="24"/>
          <w:lang w:val="de-AT"/>
        </w:rPr>
      </w:pPr>
    </w:p>
    <w:p w14:paraId="5768DC93" w14:textId="7E1678F9" w:rsidR="003E5DFF" w:rsidRPr="00503A01" w:rsidRDefault="003E5DFF" w:rsidP="003E5DFF">
      <w:pPr>
        <w:spacing w:after="0" w:line="240" w:lineRule="auto"/>
        <w:jc w:val="both"/>
        <w:rPr>
          <w:rFonts w:ascii="Times New Roman" w:hAnsi="Times New Roman" w:cs="Times New Roman"/>
          <w:bCs/>
          <w:spacing w:val="-2"/>
          <w:sz w:val="24"/>
          <w:szCs w:val="24"/>
          <w:lang w:val="de-AT"/>
        </w:rPr>
      </w:pPr>
      <w:r w:rsidRPr="00503A01">
        <w:rPr>
          <w:rFonts w:ascii="Times New Roman" w:hAnsi="Times New Roman" w:cs="Times New Roman"/>
          <w:bCs/>
          <w:spacing w:val="-2"/>
          <w:sz w:val="24"/>
          <w:szCs w:val="24"/>
          <w:lang w:val="de-AT"/>
        </w:rPr>
        <w:t>Gjatë protestave janë denoncuar pengime të përsëritura të gazetarëve dhe qytetarëve gjatë dokumentimit të ndërhyrjeve policore. Siç pasqyrohet në Aneksin 2, gazetaret Glidona Daci dhe Klodiana Lala kanë raportuar kufizime të filmimit, ndërsa Taulant Kopliku ka denoncuar se është goditur, i është marrë telefoni e i janë fshirë regjistrimet. ECPMF ka raportuar pengimin e gazetarëve nga persona të maskuar në prani të Drejtorit të Përgjithshëm Skënder Hita, ndërsa fotoreporteri Raimond Lueppken ka denoncuar presione për fshirjen e pamjeve në Durrës.</w:t>
      </w:r>
    </w:p>
    <w:p w14:paraId="125EB6C9" w14:textId="77777777" w:rsidR="003E5DFF" w:rsidRPr="00503A01" w:rsidRDefault="003E5DFF" w:rsidP="003E5DFF">
      <w:pPr>
        <w:spacing w:after="0" w:line="240" w:lineRule="auto"/>
        <w:jc w:val="both"/>
        <w:rPr>
          <w:rFonts w:ascii="Times New Roman" w:hAnsi="Times New Roman" w:cs="Times New Roman"/>
          <w:bCs/>
          <w:sz w:val="24"/>
          <w:szCs w:val="24"/>
          <w:lang w:val="de-AT"/>
        </w:rPr>
      </w:pPr>
    </w:p>
    <w:p w14:paraId="6CE2CC31" w14:textId="71E25188" w:rsidR="003E5DFF" w:rsidRPr="00503A01" w:rsidRDefault="003E5DFF" w:rsidP="003E5DFF">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lastRenderedPageBreak/>
        <w:t xml:space="preserve">Këto veprime kërkojnë hetim jo vetëm si cenime të mundshme të lirisë së medias, por edhe si </w:t>
      </w:r>
      <w:r w:rsidRPr="00503A01">
        <w:rPr>
          <w:rFonts w:ascii="Times New Roman" w:hAnsi="Times New Roman" w:cs="Times New Roman"/>
          <w:b/>
          <w:bCs/>
          <w:i/>
          <w:sz w:val="24"/>
          <w:szCs w:val="24"/>
          <w:lang w:val="de-AT"/>
        </w:rPr>
        <w:t>pengesa për sigurimin e provave dhe identifikimin e autorëve të dhunës policore</w:t>
      </w:r>
      <w:r w:rsidRPr="00503A01">
        <w:rPr>
          <w:rFonts w:ascii="Times New Roman" w:hAnsi="Times New Roman" w:cs="Times New Roman"/>
          <w:bCs/>
          <w:sz w:val="24"/>
          <w:szCs w:val="24"/>
          <w:lang w:val="de-AT"/>
        </w:rPr>
        <w:t>, veçanërisht kur efektivët janë të maskuar dhe pa shenja individuale identifikimi. Nëse provohet se pengimi i dokumentimit ka qenë i qëllimshëm, ai mund të përbëjë një komponent të mekanizmit të dyshuar të pandëshkueshmërisë.</w:t>
      </w:r>
    </w:p>
    <w:p w14:paraId="1AC2F07C" w14:textId="77777777" w:rsidR="00485AF1" w:rsidRPr="00503A01" w:rsidRDefault="00485AF1" w:rsidP="004A5027">
      <w:pPr>
        <w:spacing w:after="0" w:line="240" w:lineRule="auto"/>
        <w:jc w:val="both"/>
        <w:rPr>
          <w:rFonts w:ascii="Times New Roman" w:hAnsi="Times New Roman" w:cs="Times New Roman"/>
          <w:bCs/>
          <w:sz w:val="24"/>
          <w:szCs w:val="24"/>
          <w:lang w:val="de-AT"/>
        </w:rPr>
      </w:pPr>
    </w:p>
    <w:p w14:paraId="30014DF1" w14:textId="58FEF962"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Perimetrat e sigurisë dhe kufizimet e pajustifikuara të dokumentimit</w:t>
      </w:r>
    </w:p>
    <w:p w14:paraId="7A779794" w14:textId="77777777" w:rsidR="009A1A51" w:rsidRPr="00503A01" w:rsidRDefault="009A1A51" w:rsidP="009A1A51">
      <w:pPr>
        <w:pStyle w:val="ListParagraph"/>
        <w:spacing w:after="0" w:line="240" w:lineRule="auto"/>
        <w:jc w:val="both"/>
        <w:rPr>
          <w:rFonts w:ascii="Times New Roman" w:hAnsi="Times New Roman" w:cs="Times New Roman"/>
          <w:b/>
          <w:bCs/>
          <w:sz w:val="24"/>
          <w:szCs w:val="24"/>
          <w:lang w:val="de-AT"/>
        </w:rPr>
      </w:pPr>
    </w:p>
    <w:p w14:paraId="532EED7A" w14:textId="290C4D7F" w:rsidR="004A45F5" w:rsidRPr="00503A01" w:rsidRDefault="004A45F5" w:rsidP="004A45F5">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Vendosja e perimetrave të sigurisë mund të jetë një masë e ligjshme, por çdo kufizim i dokumentimit të ndërhyrjeve policore duhet të ketë bazë ligjore dhe të jetë i nevojshëm e proporcional me rrezikun konkret. Udhëzimet e OSBE/ODIHR dhe Komisionit të Venecias, §§ 168–169, theksojnë rëndësinë e garantimit të mundësisë së gazetarëve dhe monitoruesve për të vëzhguar dhe dokumentuar operacionet policore, edhe kur vendosen kufizime për arsye sigurie.</w:t>
      </w:r>
      <w:r w:rsidR="003F6A43" w:rsidRPr="00503A01">
        <w:rPr>
          <w:rStyle w:val="FootnoteReference"/>
          <w:rFonts w:ascii="Times New Roman" w:hAnsi="Times New Roman" w:cs="Times New Roman"/>
          <w:bCs/>
          <w:sz w:val="24"/>
          <w:szCs w:val="24"/>
          <w:lang w:val="de-AT"/>
        </w:rPr>
        <w:footnoteReference w:id="7"/>
      </w:r>
    </w:p>
    <w:p w14:paraId="4F5AAB00" w14:textId="77777777" w:rsidR="004A45F5" w:rsidRPr="00503A01" w:rsidRDefault="004A45F5" w:rsidP="004A45F5">
      <w:pPr>
        <w:spacing w:after="0" w:line="240" w:lineRule="auto"/>
        <w:jc w:val="both"/>
        <w:rPr>
          <w:rFonts w:ascii="Times New Roman" w:hAnsi="Times New Roman" w:cs="Times New Roman"/>
          <w:bCs/>
          <w:sz w:val="24"/>
          <w:szCs w:val="24"/>
          <w:lang w:val="de-AT"/>
        </w:rPr>
      </w:pPr>
    </w:p>
    <w:p w14:paraId="4A595156" w14:textId="77777777" w:rsidR="004A45F5" w:rsidRPr="00503A01" w:rsidRDefault="004A45F5" w:rsidP="004A45F5">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Për këtë arsye, duhet të verifikohet kush i ka urdhëruar perimetrat, cili ka qenë justifikimi konkret, nëse kufijtë janë përcaktuar e komunikuar, nëse gazetarëve u janë ofruar pozicione alternative për filmim dhe nëse kufizimet janë zbatuar në mënyrë selektive, veçanërisht gjatë përdorimit të forcës. </w:t>
      </w:r>
      <w:r w:rsidRPr="00503A01">
        <w:rPr>
          <w:rFonts w:ascii="Times New Roman" w:hAnsi="Times New Roman" w:cs="Times New Roman"/>
          <w:b/>
          <w:bCs/>
          <w:i/>
          <w:sz w:val="24"/>
          <w:szCs w:val="24"/>
          <w:lang w:val="de-AT"/>
        </w:rPr>
        <w:t>Rëndësi të posaçme ka përcaktimi nëse largimi i gazetarëve ka qenë veprim individual apo rezultat i urdhrave ose udhëzimeve të përbashkëta, me qëllim pengimin e dokumentimit të veprimeve eventualisht të kundërligjshme të policisë.</w:t>
      </w:r>
    </w:p>
    <w:p w14:paraId="1C888F05"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46219079" w14:textId="0CCE00D7"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E drejta e qytetarëve dhe monitoruesve për të dokumentuar ndërhyrjet policore</w:t>
      </w:r>
    </w:p>
    <w:p w14:paraId="5E01F983" w14:textId="77777777" w:rsidR="00721AFF" w:rsidRPr="00503A01" w:rsidRDefault="00721AFF" w:rsidP="00721AFF">
      <w:pPr>
        <w:pStyle w:val="ListParagraph"/>
        <w:spacing w:after="0" w:line="240" w:lineRule="auto"/>
        <w:jc w:val="both"/>
        <w:rPr>
          <w:rFonts w:ascii="Times New Roman" w:hAnsi="Times New Roman" w:cs="Times New Roman"/>
          <w:b/>
          <w:bCs/>
          <w:sz w:val="24"/>
          <w:szCs w:val="24"/>
          <w:lang w:val="de-AT"/>
        </w:rPr>
      </w:pPr>
    </w:p>
    <w:p w14:paraId="5B3B9FF7" w14:textId="20C79582" w:rsidR="00953611" w:rsidRPr="00503A01" w:rsidRDefault="00953611" w:rsidP="00953611">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Dokumentimi i ndërhyrjeve policore nuk është vetëm veprimtari e gazetarëve profesionistë, por edhe e qytetarëve dhe monitoruesve të pavarur, regjistrimet e të cilëve mund të përbëjnë prova thelbësore për identifikimin e autorëve të shkeljeve. OSBE/ODIHR ka theksuar rëndësinë e monitorimit të pavarur të tubimeve për transparencën dhe llogaridhënien e autoriteteve.</w:t>
      </w:r>
      <w:r w:rsidR="00A35D52" w:rsidRPr="00503A01">
        <w:rPr>
          <w:rStyle w:val="FootnoteReference"/>
          <w:rFonts w:ascii="Times New Roman" w:hAnsi="Times New Roman" w:cs="Times New Roman"/>
          <w:bCs/>
          <w:sz w:val="24"/>
          <w:szCs w:val="24"/>
          <w:lang w:val="de-AT"/>
        </w:rPr>
        <w:footnoteReference w:id="8"/>
      </w:r>
    </w:p>
    <w:p w14:paraId="449068C2" w14:textId="77777777" w:rsidR="00953611" w:rsidRPr="00503A01" w:rsidRDefault="00953611" w:rsidP="00953611">
      <w:pPr>
        <w:spacing w:after="0" w:line="240" w:lineRule="auto"/>
        <w:jc w:val="both"/>
        <w:rPr>
          <w:rFonts w:ascii="Times New Roman" w:hAnsi="Times New Roman" w:cs="Times New Roman"/>
          <w:bCs/>
          <w:sz w:val="24"/>
          <w:szCs w:val="24"/>
          <w:lang w:val="de-AT"/>
        </w:rPr>
      </w:pPr>
    </w:p>
    <w:p w14:paraId="1974A79E" w14:textId="55F21EB2" w:rsidR="00953611" w:rsidRPr="00503A01" w:rsidRDefault="00953611" w:rsidP="00953611">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Për këtë arsye, duhet të hetohen rastet e pengimit të filmimit nga qytetarët, marrjes ose kontrollit të telefonave dhe fshirjes së regjistrimeve, duke dalluar ndërhyrjet e ligjshme, të kryera sipas procedurave përkatëse, nga veprimet arbitrare. </w:t>
      </w:r>
      <w:r w:rsidRPr="00503A01">
        <w:rPr>
          <w:rFonts w:ascii="Times New Roman" w:hAnsi="Times New Roman" w:cs="Times New Roman"/>
          <w:b/>
          <w:bCs/>
          <w:i/>
          <w:sz w:val="24"/>
          <w:szCs w:val="24"/>
          <w:lang w:val="de-AT"/>
        </w:rPr>
        <w:t>Në veçanti, fshirja e qëllimshme e regjistrimeve që dokumentojnë veprime eventualisht kriminale duhet të hetohet edhe si një mjet i mundshëm për pengimin e identifikimit dhe ndjekjes penale të autorëve.</w:t>
      </w:r>
    </w:p>
    <w:p w14:paraId="5BB4F06E"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7F977D54" w14:textId="5E6BE5EA"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Kamerat publike, private dhe regjistrimet e brendshme të policisë</w:t>
      </w:r>
    </w:p>
    <w:p w14:paraId="7F5797EA" w14:textId="77777777" w:rsidR="00683C72" w:rsidRPr="00503A01" w:rsidRDefault="00683C72" w:rsidP="00683C72">
      <w:pPr>
        <w:pStyle w:val="ListParagraph"/>
        <w:spacing w:after="0" w:line="240" w:lineRule="auto"/>
        <w:jc w:val="both"/>
        <w:rPr>
          <w:rFonts w:ascii="Times New Roman" w:hAnsi="Times New Roman" w:cs="Times New Roman"/>
          <w:b/>
          <w:bCs/>
          <w:sz w:val="24"/>
          <w:szCs w:val="24"/>
        </w:rPr>
      </w:pPr>
    </w:p>
    <w:p w14:paraId="60D68D4A" w14:textId="77777777" w:rsidR="00C27FBD" w:rsidRPr="00503A01" w:rsidRDefault="00C27FBD" w:rsidP="00C27FBD">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t>Regjistrimet e kamerave publike, private dhe të Policisë së Shtetit përbëjnë burime të rëndësishme provash për rindërtimin e ngjarjeve dhe identifikimin e efektivëve, veçanërisht kur këta të fundit nuk mbajnë shenja individuale identifikimi. Për këtë arsye, duhet të verifikohet nëse regjistrimet që mbulojnë vendet e episodeve të denoncuara janë siguruar në kohë nga organet kompetente, përpara fshirjes ose mbishkrimit automatik, nëse janë ruajtur origjinalet dhe integriteti i tyre, si dhe nëse humbja ose mungesa eventuale e pamjeve ka ardhur nga shkaqe teknike, neglizhenca apo ndërhyrje të qëllimshme.</w:t>
      </w:r>
    </w:p>
    <w:p w14:paraId="4B00803C" w14:textId="77777777" w:rsidR="007E3C58" w:rsidRPr="00503A01" w:rsidRDefault="007E3C58" w:rsidP="00C27FBD">
      <w:pPr>
        <w:spacing w:after="0" w:line="240" w:lineRule="auto"/>
        <w:jc w:val="both"/>
        <w:rPr>
          <w:rFonts w:ascii="Times New Roman" w:hAnsi="Times New Roman" w:cs="Times New Roman"/>
          <w:bCs/>
          <w:sz w:val="24"/>
          <w:szCs w:val="24"/>
        </w:rPr>
      </w:pPr>
    </w:p>
    <w:p w14:paraId="21F738A2" w14:textId="4F549A60" w:rsidR="00C27FBD" w:rsidRPr="00503A01" w:rsidRDefault="00C27FBD" w:rsidP="00C27FBD">
      <w:pPr>
        <w:spacing w:after="0" w:line="240" w:lineRule="auto"/>
        <w:jc w:val="both"/>
        <w:rPr>
          <w:rFonts w:ascii="Times New Roman" w:hAnsi="Times New Roman" w:cs="Times New Roman"/>
          <w:bCs/>
          <w:sz w:val="24"/>
          <w:szCs w:val="24"/>
        </w:rPr>
      </w:pPr>
      <w:r w:rsidRPr="00503A01">
        <w:rPr>
          <w:rFonts w:ascii="Times New Roman" w:hAnsi="Times New Roman" w:cs="Times New Roman"/>
          <w:bCs/>
          <w:sz w:val="24"/>
          <w:szCs w:val="24"/>
        </w:rPr>
        <w:lastRenderedPageBreak/>
        <w:t>Rëndësi të veçantë kanë konstatimet e Avokatit të Popullit, i cili më 20.10.2026 raportoi pretendimin e një personi se ishte dhunuar në një zyrë të Komisariatit nr. 4 pa kamera sigurie, ndërsa më 21.10.2026 kërkoi ruajtjen e menjëhershme të regjistrimeve të protestave, komisariateve dhe Bllokut të Sigurisë, si dhe instalimin e kamerave në ambientet përkatëse.</w:t>
      </w:r>
      <w:r w:rsidR="007E3C58" w:rsidRPr="00503A01">
        <w:rPr>
          <w:rStyle w:val="FootnoteReference"/>
          <w:rFonts w:ascii="Times New Roman" w:hAnsi="Times New Roman" w:cs="Times New Roman"/>
          <w:bCs/>
          <w:sz w:val="24"/>
          <w:szCs w:val="24"/>
        </w:rPr>
        <w:footnoteReference w:id="9"/>
      </w:r>
      <w:r w:rsidRPr="00503A01">
        <w:rPr>
          <w:rFonts w:ascii="Times New Roman" w:hAnsi="Times New Roman" w:cs="Times New Roman"/>
          <w:bCs/>
          <w:sz w:val="24"/>
          <w:szCs w:val="24"/>
        </w:rPr>
        <w:t xml:space="preserve"> </w:t>
      </w:r>
      <w:r w:rsidRPr="00503A01">
        <w:rPr>
          <w:rFonts w:ascii="Times New Roman" w:hAnsi="Times New Roman" w:cs="Times New Roman"/>
          <w:b/>
          <w:bCs/>
          <w:i/>
          <w:sz w:val="24"/>
          <w:szCs w:val="24"/>
        </w:rPr>
        <w:t>Duhet të hetohet nëse mungesa ose mosruajtja e regjistrimeve lidhet me shkeljen e detyrimeve konkrete të personave përgjegjës dhe nëse ka shërbyer qëllimisht për të penguar identifikimin dhe ndjekjen penale të autorëve.</w:t>
      </w:r>
    </w:p>
    <w:p w14:paraId="75E598D0" w14:textId="77777777" w:rsidR="00485AF1" w:rsidRPr="00503A01" w:rsidRDefault="00485AF1" w:rsidP="004A5027">
      <w:pPr>
        <w:spacing w:after="0" w:line="240" w:lineRule="auto"/>
        <w:jc w:val="both"/>
        <w:rPr>
          <w:rFonts w:ascii="Times New Roman" w:hAnsi="Times New Roman" w:cs="Times New Roman"/>
          <w:b/>
          <w:bCs/>
          <w:sz w:val="24"/>
          <w:szCs w:val="24"/>
        </w:rPr>
      </w:pPr>
    </w:p>
    <w:p w14:paraId="541828D6" w14:textId="0AAFCF2D"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Mangësitë në regjistrat e shoqërimit dhe dokumentimin e ndërhyrjeve</w:t>
      </w:r>
    </w:p>
    <w:p w14:paraId="6A3B9429" w14:textId="77777777" w:rsidR="009C5FE5" w:rsidRPr="00503A01" w:rsidRDefault="009C5FE5" w:rsidP="009C5FE5">
      <w:pPr>
        <w:pStyle w:val="ListParagraph"/>
        <w:spacing w:after="0" w:line="240" w:lineRule="auto"/>
        <w:jc w:val="both"/>
        <w:rPr>
          <w:rFonts w:ascii="Times New Roman" w:hAnsi="Times New Roman" w:cs="Times New Roman"/>
          <w:b/>
          <w:bCs/>
          <w:sz w:val="24"/>
          <w:szCs w:val="24"/>
          <w:lang w:val="de-AT"/>
        </w:rPr>
      </w:pPr>
    </w:p>
    <w:p w14:paraId="3AF43565" w14:textId="77777777" w:rsidR="00E54AD2" w:rsidRPr="00503A01" w:rsidRDefault="00E54AD2" w:rsidP="00E54AD2">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Dokumentacioni i shoqërimeve dhe ndalimeve është thelbësor si për kontrollin e ligjshmërisë së privimit nga liria, ashtu edhe për identifikimin e efektivëve përgjegjës. Avokati i Popullit ka evidentuar mangësi në regjistrat policorë dhe dokumentimin e garancive procedurale, përfshirë regjistrimin e të miturve në regjistrat e të rriturve.</w:t>
      </w:r>
    </w:p>
    <w:p w14:paraId="4BD8D9E5" w14:textId="77777777" w:rsidR="00E54AD2" w:rsidRPr="00503A01" w:rsidRDefault="00E54AD2" w:rsidP="00E54AD2">
      <w:pPr>
        <w:spacing w:after="0" w:line="240" w:lineRule="auto"/>
        <w:jc w:val="both"/>
        <w:rPr>
          <w:rFonts w:ascii="Times New Roman" w:hAnsi="Times New Roman" w:cs="Times New Roman"/>
          <w:bCs/>
          <w:sz w:val="24"/>
          <w:szCs w:val="24"/>
          <w:lang w:val="de-AT"/>
        </w:rPr>
      </w:pPr>
    </w:p>
    <w:p w14:paraId="45B145B3" w14:textId="0B5EB881" w:rsidR="00E54AD2" w:rsidRPr="00503A01" w:rsidRDefault="00E54AD2" w:rsidP="00E54AD2">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Për këtë arsye, duhet të verifikohet nëse regjistrat dhe procesverbalet përmbajnë të dhëna të plota mbi efektivët dhe njësitë e përfshira, kohën, vendin dhe bazën ligjore të ndërhyrjes, përdorimin e forcës, dëmtimet dhe nevojën për ndihmë mjekësore, si dhe dorëzimin e personave ndërmjet strukturave policore. </w:t>
      </w:r>
      <w:r w:rsidRPr="00503A01">
        <w:rPr>
          <w:rFonts w:ascii="Times New Roman" w:hAnsi="Times New Roman" w:cs="Times New Roman"/>
          <w:b/>
          <w:bCs/>
          <w:i/>
          <w:sz w:val="24"/>
          <w:szCs w:val="24"/>
          <w:lang w:val="de-AT"/>
        </w:rPr>
        <w:t>Rëndësi të veçantë ka gjurmueshmëria e personave të kapur nga efektivë civilë ose të maskuar dhe të dorëzuar më pas te punonjës të tjerë.</w:t>
      </w:r>
      <w:r w:rsidRPr="00503A01">
        <w:rPr>
          <w:rFonts w:ascii="Times New Roman" w:hAnsi="Times New Roman" w:cs="Times New Roman"/>
          <w:bCs/>
          <w:sz w:val="24"/>
          <w:szCs w:val="24"/>
          <w:lang w:val="de-AT"/>
        </w:rPr>
        <w:t xml:space="preserve"> Duhet të përcaktohet nëse mangësitë e dokumentimit kanë ardhur nga shkelje individuale apo nga procedurat dhe kontrolli i pamjaftueshëm i drejtuesve, si dhe nëse kanë penguar identifikimin e autorëve të veprimeve të kundërligjshme.</w:t>
      </w:r>
    </w:p>
    <w:p w14:paraId="0364A455"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13421DE7" w14:textId="1A7E57A9"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Detyrimi për të trajtuar denoncimet e publikuara në media dhe rrjetet sociale</w:t>
      </w:r>
    </w:p>
    <w:p w14:paraId="6338F0E4" w14:textId="77777777" w:rsidR="002F6D78" w:rsidRPr="00503A01" w:rsidRDefault="002F6D78" w:rsidP="002F6D78">
      <w:pPr>
        <w:pStyle w:val="ListParagraph"/>
        <w:spacing w:after="0" w:line="240" w:lineRule="auto"/>
        <w:jc w:val="both"/>
        <w:rPr>
          <w:rFonts w:ascii="Times New Roman" w:hAnsi="Times New Roman" w:cs="Times New Roman"/>
          <w:b/>
          <w:bCs/>
          <w:sz w:val="24"/>
          <w:szCs w:val="24"/>
          <w:lang w:val="de-AT"/>
        </w:rPr>
      </w:pPr>
    </w:p>
    <w:p w14:paraId="33A91911" w14:textId="77777777" w:rsidR="00D35E2A" w:rsidRPr="00503A01" w:rsidRDefault="00D35E2A" w:rsidP="00D35E2A">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Neni 28, pika 3, i Rregullores së Policisë së Shtetit parashikon detyrimin e strukturave policore për të trajtuar dhe nisur veprimet procedurale edhe për shkeljet e punonjësve të raportuara në media, portale dhe rrjete sociale, pa e kushtëzuar këtë detyrim me paraqitjen e një ankese individuale. Gjithashtu, neni 158, pika 1, detyron punonjësit të raportojnë te eprorët shkeljet disiplinore ose veprat penale të kolegëve, ndërsa neni 146 parashikon detyrimin për raportimin e paligjshmërisë, përfshirë abuzimet me pushtetin dhe cenimin e të drejtave të qytetarëve.</w:t>
      </w:r>
    </w:p>
    <w:p w14:paraId="6FF6E425" w14:textId="77777777" w:rsidR="00D35E2A" w:rsidRPr="00503A01" w:rsidRDefault="00D35E2A" w:rsidP="00D35E2A">
      <w:pPr>
        <w:spacing w:after="0" w:line="240" w:lineRule="auto"/>
        <w:jc w:val="both"/>
        <w:rPr>
          <w:rFonts w:ascii="Times New Roman" w:hAnsi="Times New Roman" w:cs="Times New Roman"/>
          <w:bCs/>
          <w:sz w:val="24"/>
          <w:szCs w:val="24"/>
          <w:lang w:val="de-AT"/>
        </w:rPr>
      </w:pPr>
    </w:p>
    <w:p w14:paraId="79335E8A" w14:textId="45CD4C5A" w:rsidR="00D35E2A" w:rsidRPr="00503A01" w:rsidRDefault="00D35E2A" w:rsidP="00D35E2A">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Për rrjedhojë, duhet të hetohet </w:t>
      </w:r>
      <w:r w:rsidRPr="00503A01">
        <w:rPr>
          <w:rFonts w:ascii="Times New Roman" w:hAnsi="Times New Roman" w:cs="Times New Roman"/>
          <w:b/>
          <w:bCs/>
          <w:i/>
          <w:sz w:val="24"/>
          <w:szCs w:val="24"/>
          <w:lang w:val="de-AT"/>
        </w:rPr>
        <w:t>reagimi institucional ndaj videove dhe denoncimeve publike për dhunën policore, mungesën e identifikuesve dhe pengimin e gazetarëve</w:t>
      </w:r>
      <w:r w:rsidRPr="00503A01">
        <w:rPr>
          <w:rFonts w:ascii="Times New Roman" w:hAnsi="Times New Roman" w:cs="Times New Roman"/>
          <w:bCs/>
          <w:sz w:val="24"/>
          <w:szCs w:val="24"/>
          <w:lang w:val="de-AT"/>
        </w:rPr>
        <w:t>, duke verifikuar regjistrimin e raportimeve, urdhërimin e verifikimeve, sigurimin e provave dhe identifikimin e autorëve. Rëndësi të veçantë kanë edhe letra e hapur e Qendrës Res Publica dhe komunikimet e Avokatit të Popullit, për të përcaktuar kohën e marrjes së dijenisë nga drejtuesit, mënyrën e trajtimit të njoftimeve dhe masat konkrete të ndërmarra.</w:t>
      </w:r>
    </w:p>
    <w:p w14:paraId="0DFF7E00" w14:textId="77777777" w:rsidR="00485AF1" w:rsidRPr="00503A01" w:rsidRDefault="00485AF1" w:rsidP="004A5027">
      <w:pPr>
        <w:spacing w:after="0" w:line="240" w:lineRule="auto"/>
        <w:jc w:val="both"/>
        <w:rPr>
          <w:rFonts w:ascii="Times New Roman" w:hAnsi="Times New Roman" w:cs="Times New Roman"/>
          <w:b/>
          <w:bCs/>
          <w:sz w:val="24"/>
          <w:szCs w:val="24"/>
          <w:lang w:val="de-AT"/>
        </w:rPr>
      </w:pPr>
    </w:p>
    <w:p w14:paraId="6F8467B0" w14:textId="2FCD33D6"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Vazhdimi i praktikave pas marrjes së dijenisë dhe rëndësia për provimin e dashjes</w:t>
      </w:r>
    </w:p>
    <w:p w14:paraId="2A91A0A9" w14:textId="77777777" w:rsidR="00662A13" w:rsidRPr="00503A01" w:rsidRDefault="00662A13" w:rsidP="00662A13">
      <w:pPr>
        <w:pStyle w:val="ListParagraph"/>
        <w:spacing w:after="0" w:line="240" w:lineRule="auto"/>
        <w:jc w:val="both"/>
        <w:rPr>
          <w:rFonts w:ascii="Times New Roman" w:hAnsi="Times New Roman" w:cs="Times New Roman"/>
          <w:b/>
          <w:bCs/>
          <w:sz w:val="24"/>
          <w:szCs w:val="24"/>
          <w:lang w:val="de-AT"/>
        </w:rPr>
      </w:pPr>
    </w:p>
    <w:p w14:paraId="162F93CC" w14:textId="63895270" w:rsidR="00E75CE0" w:rsidRPr="00503A01" w:rsidRDefault="00E75CE0" w:rsidP="00E75CE0">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Përsëritja e praktikave të kundërligjshme pas njoftimit të drejtuesve mund të jetë relevante për provimin e dashjes, nëse ata kanë pasur kompetencën dhe mundësinë reale për t'i ndërprerë. Në rastin konkret, drejtuesit janë njoftuar për dhunën policore dhe mungesën e identifikuesve përmes raportimeve publike dhe komunikimeve zyrtare. Në konferencën e datës 17.10.2026, </w:t>
      </w:r>
      <w:r w:rsidRPr="00503A01">
        <w:rPr>
          <w:rFonts w:ascii="Times New Roman" w:hAnsi="Times New Roman" w:cs="Times New Roman"/>
          <w:bCs/>
          <w:sz w:val="24"/>
          <w:szCs w:val="24"/>
          <w:lang w:val="de-AT"/>
        </w:rPr>
        <w:lastRenderedPageBreak/>
        <w:t>të publikuar në faqen zyrtare më 19.10.2026, Drejtori i Përgjithshëm Skënder Hita njoftoi pezullimin e shtatë efektivëve për tejkalim detyre dhe mosrespektim të proporcionalitetit, duke konfirmuar dijeninë institucionale për disa shkelje të dyshuara.</w:t>
      </w:r>
      <w:r w:rsidR="00D51C3D" w:rsidRPr="00503A01">
        <w:rPr>
          <w:rStyle w:val="FootnoteReference"/>
          <w:rFonts w:ascii="Times New Roman" w:hAnsi="Times New Roman" w:cs="Times New Roman"/>
          <w:bCs/>
          <w:sz w:val="24"/>
          <w:szCs w:val="24"/>
          <w:lang w:val="de-AT"/>
        </w:rPr>
        <w:footnoteReference w:id="10"/>
      </w:r>
    </w:p>
    <w:p w14:paraId="71E91434" w14:textId="77777777" w:rsidR="00E75CE0" w:rsidRPr="00503A01" w:rsidRDefault="00E75CE0" w:rsidP="00E75CE0">
      <w:pPr>
        <w:spacing w:after="0" w:line="240" w:lineRule="auto"/>
        <w:jc w:val="both"/>
        <w:rPr>
          <w:rFonts w:ascii="Times New Roman" w:hAnsi="Times New Roman" w:cs="Times New Roman"/>
          <w:bCs/>
          <w:sz w:val="24"/>
          <w:szCs w:val="24"/>
          <w:lang w:val="de-AT"/>
        </w:rPr>
      </w:pPr>
    </w:p>
    <w:p w14:paraId="3A45A6E4" w14:textId="77777777" w:rsidR="00E75CE0" w:rsidRPr="00503A01" w:rsidRDefault="00E75CE0" w:rsidP="00E75CE0">
      <w:pPr>
        <w:spacing w:after="0" w:line="240" w:lineRule="auto"/>
        <w:jc w:val="both"/>
        <w:rPr>
          <w:rFonts w:ascii="Times New Roman" w:hAnsi="Times New Roman" w:cs="Times New Roman"/>
          <w:bCs/>
          <w:i/>
          <w:iCs/>
          <w:sz w:val="24"/>
          <w:szCs w:val="24"/>
          <w:lang w:val="de-AT"/>
        </w:rPr>
      </w:pPr>
      <w:r w:rsidRPr="00503A01">
        <w:rPr>
          <w:rFonts w:ascii="Times New Roman" w:hAnsi="Times New Roman" w:cs="Times New Roman"/>
          <w:bCs/>
          <w:sz w:val="24"/>
          <w:szCs w:val="24"/>
          <w:lang w:val="de-AT"/>
        </w:rPr>
        <w:t xml:space="preserve">Për këtë arsye, duhet të hetohet nëse drejtuesit janë mjaftuar me masa ndaj efektivëve individualë apo kanë ndërhyrë për korrigjimin e problemeve organizative, veçanërisht mungesës së identifikuesve dhe pengimit të dokumentimit filmik. </w:t>
      </w:r>
      <w:r w:rsidRPr="00503A01">
        <w:rPr>
          <w:rFonts w:ascii="Times New Roman" w:hAnsi="Times New Roman" w:cs="Times New Roman"/>
          <w:b/>
          <w:bCs/>
          <w:i/>
          <w:iCs/>
          <w:sz w:val="24"/>
          <w:szCs w:val="24"/>
          <w:lang w:val="de-AT"/>
        </w:rPr>
        <w:t>Nëse provohet se kanë lejuar me vetëdije vijimin e këtyre praktikave për të penguar identifikimin dhe ndjekjen penale të autorëve, kjo mund të përbëjë bazë për përgjegjësi penale të pavarur nga ajo e efektivëve që kanë kryer veprimet konkrete.</w:t>
      </w:r>
    </w:p>
    <w:p w14:paraId="7CCC23EC" w14:textId="77777777" w:rsidR="00976139" w:rsidRPr="00503A01" w:rsidRDefault="00976139" w:rsidP="004A5027">
      <w:pPr>
        <w:spacing w:after="0" w:line="240" w:lineRule="auto"/>
        <w:jc w:val="both"/>
        <w:rPr>
          <w:rFonts w:ascii="Times New Roman" w:hAnsi="Times New Roman" w:cs="Times New Roman"/>
          <w:b/>
          <w:bCs/>
          <w:sz w:val="24"/>
          <w:szCs w:val="24"/>
          <w:lang w:val="de-AT"/>
        </w:rPr>
      </w:pPr>
    </w:p>
    <w:p w14:paraId="28AD6A1E" w14:textId="4F7D45B0" w:rsidR="004A5027" w:rsidRPr="00503A01" w:rsidRDefault="004A5027" w:rsidP="00FE0A0F">
      <w:pPr>
        <w:pStyle w:val="ListParagraph"/>
        <w:numPr>
          <w:ilvl w:val="0"/>
          <w:numId w:val="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Lidhja funksionale ndërmjet mosidentifikueshmërisë dhe pengimit të dokumentimit</w:t>
      </w:r>
    </w:p>
    <w:p w14:paraId="3C882EEE" w14:textId="77777777" w:rsidR="009A5CDC" w:rsidRPr="00503A01" w:rsidRDefault="009A5CDC" w:rsidP="009A5CDC">
      <w:pPr>
        <w:pStyle w:val="ListParagraph"/>
        <w:spacing w:after="0" w:line="240" w:lineRule="auto"/>
        <w:jc w:val="both"/>
        <w:rPr>
          <w:rFonts w:ascii="Times New Roman" w:hAnsi="Times New Roman" w:cs="Times New Roman"/>
          <w:b/>
          <w:bCs/>
          <w:sz w:val="24"/>
          <w:szCs w:val="24"/>
          <w:lang w:val="de-AT"/>
        </w:rPr>
      </w:pPr>
    </w:p>
    <w:p w14:paraId="5FC709F2" w14:textId="77777777" w:rsidR="006A4AD5" w:rsidRPr="00503A01" w:rsidRDefault="006A4AD5" w:rsidP="006A4AD5">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Cs/>
          <w:sz w:val="24"/>
          <w:szCs w:val="24"/>
          <w:lang w:val="de-AT"/>
        </w:rPr>
        <w:t xml:space="preserve">Mosidentifikueshmëria e efektivëve dhe pengimi i dokumentimit filmik mund të përbëjnë dy komponentë të një mekanizmi të përbashkët. </w:t>
      </w:r>
      <w:r w:rsidRPr="00503A01">
        <w:rPr>
          <w:rFonts w:ascii="Times New Roman" w:hAnsi="Times New Roman" w:cs="Times New Roman"/>
          <w:b/>
          <w:bCs/>
          <w:i/>
          <w:sz w:val="24"/>
          <w:szCs w:val="24"/>
          <w:lang w:val="de-AT"/>
        </w:rPr>
        <w:t>E para pengon lidhjen e veprimit të kundërligjshëm me autorin konkret, ndërsa e dyta pengon sigurimin e provave që mundësojnë identifikimin e tij.</w:t>
      </w:r>
      <w:r w:rsidRPr="00503A01">
        <w:rPr>
          <w:rFonts w:ascii="Times New Roman" w:hAnsi="Times New Roman" w:cs="Times New Roman"/>
          <w:bCs/>
          <w:sz w:val="24"/>
          <w:szCs w:val="24"/>
          <w:lang w:val="de-AT"/>
        </w:rPr>
        <w:t xml:space="preserve"> Kur këtyre praktikave u shtohen mangësitë në dokumentacionin operacional dhe mosruajtja e regjistrimeve, identifikimi dhe ndjekja penale e autorëve mund të bëhen praktikisht të pamundura.</w:t>
      </w:r>
    </w:p>
    <w:p w14:paraId="07350242" w14:textId="77777777" w:rsidR="006A4AD5" w:rsidRPr="00503A01" w:rsidRDefault="006A4AD5" w:rsidP="006A4AD5">
      <w:pPr>
        <w:spacing w:after="0" w:line="240" w:lineRule="auto"/>
        <w:jc w:val="both"/>
        <w:rPr>
          <w:rFonts w:ascii="Times New Roman" w:hAnsi="Times New Roman" w:cs="Times New Roman"/>
          <w:bCs/>
          <w:sz w:val="20"/>
          <w:szCs w:val="20"/>
          <w:lang w:val="de-AT"/>
        </w:rPr>
      </w:pPr>
    </w:p>
    <w:p w14:paraId="71D57BA0" w14:textId="77777777" w:rsidR="006A4AD5" w:rsidRPr="00503A01" w:rsidRDefault="006A4AD5" w:rsidP="006A4AD5">
      <w:pPr>
        <w:spacing w:after="0" w:line="240" w:lineRule="auto"/>
        <w:jc w:val="both"/>
        <w:rPr>
          <w:rFonts w:ascii="Times New Roman" w:hAnsi="Times New Roman" w:cs="Times New Roman"/>
          <w:bCs/>
          <w:sz w:val="24"/>
          <w:szCs w:val="24"/>
          <w:lang w:val="de-AT"/>
        </w:rPr>
      </w:pPr>
      <w:r w:rsidRPr="00503A01">
        <w:rPr>
          <w:rFonts w:ascii="Times New Roman" w:hAnsi="Times New Roman" w:cs="Times New Roman"/>
          <w:b/>
          <w:bCs/>
          <w:i/>
          <w:sz w:val="24"/>
          <w:szCs w:val="24"/>
          <w:lang w:val="de-AT"/>
        </w:rPr>
        <w:t>Hipoteza qendrore që kërkohet të hetohet është nëse këto pengesa janë krijuar, lejuar ose ruajtur me vetëdije për të garantuar pandëshkueshmërinë e autorëve të dhunës policore dhe nëse ky mekanizëm ka shërbyer, më tej, si instrument për frikësimin e qytetarëve dhe pengimin e ushtrimit të lirisë së tubimit.</w:t>
      </w:r>
      <w:r w:rsidRPr="00503A01">
        <w:rPr>
          <w:rFonts w:ascii="Times New Roman" w:hAnsi="Times New Roman" w:cs="Times New Roman"/>
          <w:bCs/>
          <w:sz w:val="24"/>
          <w:szCs w:val="24"/>
          <w:lang w:val="de-AT"/>
        </w:rPr>
        <w:t xml:space="preserve"> Kjo kërkon hetimin e organizimit dhe vendimmarrjes së drejtuesve, në përputhje me standardet e GJEDNJ-së në çështjet </w:t>
      </w:r>
      <w:r w:rsidRPr="00503A01">
        <w:rPr>
          <w:rFonts w:ascii="Times New Roman" w:hAnsi="Times New Roman" w:cs="Times New Roman"/>
          <w:bCs/>
          <w:i/>
          <w:iCs/>
          <w:sz w:val="24"/>
          <w:szCs w:val="24"/>
          <w:lang w:val="de-AT"/>
        </w:rPr>
        <w:t>Dedovskiy dhe të Tjerë kundër Rusisë</w:t>
      </w:r>
      <w:r w:rsidRPr="00503A01">
        <w:rPr>
          <w:rFonts w:ascii="Times New Roman" w:hAnsi="Times New Roman" w:cs="Times New Roman"/>
          <w:bCs/>
          <w:sz w:val="24"/>
          <w:szCs w:val="24"/>
          <w:lang w:val="de-AT"/>
        </w:rPr>
        <w:t xml:space="preserve">, § 91, dhe </w:t>
      </w:r>
      <w:r w:rsidRPr="00503A01">
        <w:rPr>
          <w:rFonts w:ascii="Times New Roman" w:hAnsi="Times New Roman" w:cs="Times New Roman"/>
          <w:bCs/>
          <w:i/>
          <w:iCs/>
          <w:sz w:val="24"/>
          <w:szCs w:val="24"/>
          <w:lang w:val="de-AT"/>
        </w:rPr>
        <w:t>Tsaava dhe të Tjerë kundër Gjeorgjisë</w:t>
      </w:r>
      <w:r w:rsidRPr="00503A01">
        <w:rPr>
          <w:rFonts w:ascii="Times New Roman" w:hAnsi="Times New Roman" w:cs="Times New Roman"/>
          <w:bCs/>
          <w:sz w:val="24"/>
          <w:szCs w:val="24"/>
          <w:lang w:val="de-AT"/>
        </w:rPr>
        <w:t xml:space="preserve"> [DhM], § 296.</w:t>
      </w:r>
    </w:p>
    <w:p w14:paraId="628182A2" w14:textId="77777777" w:rsidR="00485AF1" w:rsidRPr="00503A01" w:rsidRDefault="00485AF1" w:rsidP="004A5027">
      <w:pPr>
        <w:spacing w:after="0" w:line="240" w:lineRule="auto"/>
        <w:jc w:val="both"/>
        <w:rPr>
          <w:rFonts w:ascii="Times New Roman" w:hAnsi="Times New Roman" w:cs="Times New Roman"/>
          <w:b/>
          <w:bCs/>
          <w:sz w:val="20"/>
          <w:szCs w:val="20"/>
          <w:lang w:val="de-AT"/>
        </w:rPr>
      </w:pPr>
    </w:p>
    <w:p w14:paraId="7BD53AFF" w14:textId="77777777" w:rsidR="00626B52" w:rsidRPr="00503A01" w:rsidRDefault="00626B52" w:rsidP="004A5027">
      <w:pPr>
        <w:spacing w:after="0" w:line="240" w:lineRule="auto"/>
        <w:jc w:val="both"/>
        <w:rPr>
          <w:rFonts w:ascii="Times New Roman" w:hAnsi="Times New Roman" w:cs="Times New Roman"/>
          <w:bCs/>
          <w:sz w:val="20"/>
          <w:szCs w:val="20"/>
          <w:lang w:val="de-AT"/>
        </w:rPr>
      </w:pPr>
    </w:p>
    <w:p w14:paraId="2A1B5D6E" w14:textId="1F6518A5" w:rsidR="0092219E" w:rsidRPr="00503A01" w:rsidRDefault="0092219E" w:rsidP="005E6255">
      <w:pPr>
        <w:pStyle w:val="ListParagraph"/>
        <w:numPr>
          <w:ilvl w:val="0"/>
          <w:numId w:val="37"/>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SHTRIRJA E PRAKTIKAVE TË DENONCUARA NË STRUKTURA DHE QYTETE TË NDRYSHME, SI DHE LIDHJA E MUNDSHME ME DREJTIMIN QENDROR TË POLICISË SË SHTETIT</w:t>
      </w:r>
    </w:p>
    <w:p w14:paraId="6ED93F7A" w14:textId="77777777" w:rsidR="0092219E" w:rsidRPr="00503A01" w:rsidRDefault="0092219E" w:rsidP="0092219E">
      <w:pPr>
        <w:pStyle w:val="ListParagraph"/>
        <w:spacing w:after="0" w:line="240" w:lineRule="auto"/>
        <w:ind w:left="1080"/>
        <w:jc w:val="both"/>
        <w:rPr>
          <w:rFonts w:ascii="Times New Roman" w:hAnsi="Times New Roman" w:cs="Times New Roman"/>
          <w:b/>
          <w:bCs/>
          <w:sz w:val="24"/>
          <w:szCs w:val="24"/>
          <w:lang w:val="de-AT"/>
        </w:rPr>
      </w:pPr>
    </w:p>
    <w:p w14:paraId="76DC0A1E" w14:textId="1E980C38" w:rsidR="0092219E" w:rsidRPr="00503A01" w:rsidRDefault="0092219E" w:rsidP="00FE0A0F">
      <w:pPr>
        <w:pStyle w:val="ListParagraph"/>
        <w:numPr>
          <w:ilvl w:val="0"/>
          <w:numId w:val="9"/>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Rëndësia e shtrirjes territoriale dhe institucionale për objektin e kallëzimit</w:t>
      </w:r>
    </w:p>
    <w:p w14:paraId="47C9AA53" w14:textId="77777777" w:rsidR="0092219E" w:rsidRPr="00503A01" w:rsidRDefault="0092219E" w:rsidP="0092219E">
      <w:pPr>
        <w:pStyle w:val="ListParagraph"/>
        <w:spacing w:after="0" w:line="240" w:lineRule="auto"/>
        <w:jc w:val="both"/>
        <w:rPr>
          <w:rFonts w:ascii="Times New Roman" w:hAnsi="Times New Roman" w:cs="Times New Roman"/>
          <w:b/>
          <w:bCs/>
          <w:sz w:val="24"/>
          <w:szCs w:val="24"/>
          <w:lang w:val="de-AT"/>
        </w:rPr>
      </w:pPr>
    </w:p>
    <w:p w14:paraId="7CD4D596" w14:textId="760485E2" w:rsidR="006F5ED4" w:rsidRPr="00503A01" w:rsidRDefault="006F5ED4" w:rsidP="006F5ED4">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Episodet e dokumentuara në Aneksin 2 nuk kufizohen në një vendngjarje apo strukturë policore. Gjatë protestave të datave 13-21.10.2026, në Tiranë, Durrës, Shkodër, Korçë, Pogradec, Vlorë dhe qytete të tjera janë raportuar përdorim i dyshuar i paligjshëm i forcës, shoqërime arbitrare, veprime të efektivëve të paidentifikueshëm dhe pengesa ndaj dokumentimit të ndërhyrjeve policore.</w:t>
      </w:r>
    </w:p>
    <w:p w14:paraId="65A59DAD" w14:textId="77777777" w:rsidR="006F5ED4" w:rsidRPr="00503A01" w:rsidRDefault="006F5ED4" w:rsidP="006F5ED4">
      <w:pPr>
        <w:spacing w:after="0" w:line="240" w:lineRule="auto"/>
        <w:jc w:val="both"/>
        <w:rPr>
          <w:rFonts w:ascii="Times New Roman" w:hAnsi="Times New Roman" w:cs="Times New Roman"/>
          <w:b/>
          <w:bCs/>
          <w:sz w:val="24"/>
          <w:szCs w:val="24"/>
          <w:lang w:val="de-AT"/>
        </w:rPr>
      </w:pPr>
    </w:p>
    <w:p w14:paraId="0C12DFD2" w14:textId="5DAA344F" w:rsidR="006F5ED4" w:rsidRPr="00503A01" w:rsidRDefault="006F5ED4" w:rsidP="006F5ED4">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bCs/>
          <w:sz w:val="24"/>
          <w:szCs w:val="24"/>
          <w:lang w:val="de-AT"/>
        </w:rPr>
        <w:t>Shtrirja territoriale dhe ngjashmëritë në mënyrën e ndërhyrjes, përdorimin e identifikuesve, trajtimin e personave të shoqëruar dhe kufizimin e filmimeve kërkojnë hetimin nëse këto episode përbëjnë shkelje të izoluara apo praktika me burim të përbashkët organizativ dhe drejtues</w:t>
      </w:r>
      <w:r w:rsidRPr="00503A01">
        <w:rPr>
          <w:rFonts w:ascii="Times New Roman" w:hAnsi="Times New Roman" w:cs="Times New Roman"/>
          <w:sz w:val="24"/>
          <w:szCs w:val="24"/>
          <w:lang w:val="de-AT"/>
        </w:rPr>
        <w:t>, që mund të përfshijnë përgjegjësi përtej strukturave vendore.</w:t>
      </w:r>
    </w:p>
    <w:p w14:paraId="5B086E93" w14:textId="435707D9" w:rsidR="0092219E" w:rsidRPr="00503A01" w:rsidRDefault="0092219E" w:rsidP="0092219E">
      <w:pPr>
        <w:spacing w:after="0" w:line="240" w:lineRule="auto"/>
        <w:jc w:val="both"/>
        <w:rPr>
          <w:rFonts w:ascii="Times New Roman" w:hAnsi="Times New Roman" w:cs="Times New Roman"/>
          <w:sz w:val="24"/>
          <w:szCs w:val="24"/>
          <w:lang w:val="de-AT"/>
        </w:rPr>
      </w:pPr>
    </w:p>
    <w:p w14:paraId="1FF5C1B6" w14:textId="77777777" w:rsidR="002320B4" w:rsidRPr="00503A01" w:rsidRDefault="002320B4" w:rsidP="0092219E">
      <w:pPr>
        <w:spacing w:after="0" w:line="240" w:lineRule="auto"/>
        <w:jc w:val="both"/>
        <w:rPr>
          <w:rFonts w:ascii="Times New Roman" w:hAnsi="Times New Roman" w:cs="Times New Roman"/>
          <w:sz w:val="24"/>
          <w:szCs w:val="24"/>
          <w:lang w:val="de-AT"/>
        </w:rPr>
      </w:pPr>
    </w:p>
    <w:p w14:paraId="6D86E5A0" w14:textId="6692E4E1" w:rsidR="0092219E" w:rsidRPr="00503A01" w:rsidRDefault="0092219E" w:rsidP="00FE0A0F">
      <w:pPr>
        <w:pStyle w:val="ListParagraph"/>
        <w:numPr>
          <w:ilvl w:val="0"/>
          <w:numId w:val="9"/>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lastRenderedPageBreak/>
        <w:t>Organizimi i centralizuar i Policisë së Shtetit dhe përgjegjësitë e nivelit qendror</w:t>
      </w:r>
    </w:p>
    <w:p w14:paraId="327FA969" w14:textId="77777777" w:rsidR="0092219E" w:rsidRPr="00503A01" w:rsidRDefault="0092219E" w:rsidP="0092219E">
      <w:pPr>
        <w:pStyle w:val="ListParagraph"/>
        <w:spacing w:after="0" w:line="240" w:lineRule="auto"/>
        <w:jc w:val="both"/>
        <w:rPr>
          <w:rFonts w:ascii="Times New Roman" w:hAnsi="Times New Roman" w:cs="Times New Roman"/>
          <w:b/>
          <w:bCs/>
          <w:sz w:val="24"/>
          <w:szCs w:val="24"/>
        </w:rPr>
      </w:pPr>
    </w:p>
    <w:p w14:paraId="4F72805D" w14:textId="77777777" w:rsidR="00CF055D" w:rsidRPr="00503A01" w:rsidRDefault="00CF055D" w:rsidP="00CF055D">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Neni 46, pikat 1, 3 dhe 4, i ligjit nr. 82/2024, “Për Policinë e Shtetit”, e përcakton Policinë si institucion të centralizuar, me struktura qendrore e vendore, drejtim dhe kontroll vertikal, si dhe struktura të posaçme që mund të veprojnë në të gjithë territorin. Sipas nenit 47, pika 2, shkronja “b”, Drejtoria e Përgjithshme planifikon, bashkërendon dhe koordinon veprimtarinë e strukturave policore, ndërsa neni 55, pika 2, i ngarkon Drejtorit të Përgjithshëm organizimin, drejtimin dhe kontrollin e Policisë, sigurimin e mbështetjes logjistike, administrative e teknologjike, si dhe miratimin e koncepteve, doktrinave dhe procedurave operative.</w:t>
      </w:r>
    </w:p>
    <w:p w14:paraId="6F8EA801" w14:textId="77777777" w:rsidR="00CF055D" w:rsidRPr="00503A01" w:rsidRDefault="00CF055D" w:rsidP="00CF055D">
      <w:pPr>
        <w:spacing w:after="0" w:line="240" w:lineRule="auto"/>
        <w:jc w:val="both"/>
        <w:rPr>
          <w:rFonts w:ascii="Times New Roman" w:hAnsi="Times New Roman" w:cs="Times New Roman"/>
          <w:sz w:val="24"/>
          <w:szCs w:val="24"/>
        </w:rPr>
      </w:pPr>
    </w:p>
    <w:p w14:paraId="76B345BA" w14:textId="66BC5119" w:rsidR="00CF055D" w:rsidRPr="00503A01" w:rsidRDefault="00CF055D" w:rsidP="00CF055D">
      <w:pPr>
        <w:spacing w:after="0" w:line="240" w:lineRule="auto"/>
        <w:jc w:val="both"/>
        <w:rPr>
          <w:rFonts w:ascii="Times New Roman" w:hAnsi="Times New Roman" w:cs="Times New Roman"/>
          <w:spacing w:val="-2"/>
          <w:sz w:val="24"/>
          <w:szCs w:val="24"/>
        </w:rPr>
      </w:pPr>
      <w:r w:rsidRPr="00503A01">
        <w:rPr>
          <w:rFonts w:ascii="Times New Roman" w:hAnsi="Times New Roman" w:cs="Times New Roman"/>
          <w:spacing w:val="-2"/>
          <w:sz w:val="24"/>
          <w:szCs w:val="24"/>
        </w:rPr>
        <w:t xml:space="preserve">Për rrjedhojë, </w:t>
      </w:r>
      <w:r w:rsidRPr="00503A01">
        <w:rPr>
          <w:rFonts w:ascii="Times New Roman" w:hAnsi="Times New Roman" w:cs="Times New Roman"/>
          <w:b/>
          <w:bCs/>
          <w:i/>
          <w:spacing w:val="-2"/>
          <w:sz w:val="24"/>
          <w:szCs w:val="24"/>
        </w:rPr>
        <w:t>përsëritja e praktikave të mosidentifikimit të efektivëve dhe pengimit të dokumentimit në qytete të ndryshme kërkon hetimin e burimit të tyre organizativ</w:t>
      </w:r>
      <w:r w:rsidRPr="00503A01">
        <w:rPr>
          <w:rFonts w:ascii="Times New Roman" w:hAnsi="Times New Roman" w:cs="Times New Roman"/>
          <w:i/>
          <w:spacing w:val="-2"/>
          <w:sz w:val="24"/>
          <w:szCs w:val="24"/>
        </w:rPr>
        <w:t>:</w:t>
      </w:r>
      <w:r w:rsidRPr="00503A01">
        <w:rPr>
          <w:rFonts w:ascii="Times New Roman" w:hAnsi="Times New Roman" w:cs="Times New Roman"/>
          <w:spacing w:val="-2"/>
          <w:sz w:val="24"/>
          <w:szCs w:val="24"/>
        </w:rPr>
        <w:t xml:space="preserve"> nëse rrjedhin nga procedura ose udhëzime të përbashkëta, mangësi të kontrollit qendror, tolerim të shkeljeve apo vendimmarrje të qëllimshme, ose nëse janë veprime të pavarura të drejtuesve vendorë. Për këtë qëllim duhet të administrohen aktet organizative, procedurat e identifikimit, urdhrat operacionalë dhe dokumentacioni i kontrollit, për të përcaktuar rolin konkret të secilit drejtues.</w:t>
      </w:r>
    </w:p>
    <w:p w14:paraId="20F32326" w14:textId="77777777" w:rsidR="00485AF1" w:rsidRPr="00503A01" w:rsidRDefault="00485AF1" w:rsidP="0092219E">
      <w:pPr>
        <w:spacing w:after="0" w:line="240" w:lineRule="auto"/>
        <w:jc w:val="both"/>
        <w:rPr>
          <w:rFonts w:ascii="Times New Roman" w:hAnsi="Times New Roman" w:cs="Times New Roman"/>
          <w:b/>
          <w:bCs/>
          <w:sz w:val="24"/>
          <w:szCs w:val="24"/>
        </w:rPr>
      </w:pPr>
    </w:p>
    <w:p w14:paraId="2C3B1D3F" w14:textId="423A88D1" w:rsidR="0092219E" w:rsidRPr="00503A01" w:rsidRDefault="0092219E" w:rsidP="00FE0A0F">
      <w:pPr>
        <w:pStyle w:val="ListParagraph"/>
        <w:numPr>
          <w:ilvl w:val="0"/>
          <w:numId w:val="9"/>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Përfshirja e strukturave të ndryshme policore gjatë protestave në Tiranë</w:t>
      </w:r>
    </w:p>
    <w:p w14:paraId="1228CC83" w14:textId="77777777" w:rsidR="00060D35" w:rsidRPr="00503A01" w:rsidRDefault="00060D35" w:rsidP="00060D35">
      <w:pPr>
        <w:pStyle w:val="ListParagraph"/>
        <w:spacing w:after="0" w:line="240" w:lineRule="auto"/>
        <w:jc w:val="both"/>
        <w:rPr>
          <w:rFonts w:ascii="Times New Roman" w:hAnsi="Times New Roman" w:cs="Times New Roman"/>
          <w:b/>
          <w:bCs/>
          <w:sz w:val="24"/>
          <w:szCs w:val="24"/>
        </w:rPr>
      </w:pPr>
    </w:p>
    <w:p w14:paraId="13FD08D6" w14:textId="6845F434" w:rsidR="000D73C9" w:rsidRPr="00503A01" w:rsidRDefault="000D73C9" w:rsidP="000D73C9">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Gjatë protestave në Tiranë janë raportuar ndërhyrje të strukturave të rendit publik, njësive të ndërhyrjes së shpejtë, “Shqiponjave”, strukturave operacionale dhe punonjësve civilë të dyshuar si efektivë policie</w:t>
      </w:r>
      <w:r w:rsidR="00351285" w:rsidRPr="00503A01">
        <w:rPr>
          <w:rFonts w:ascii="Times New Roman" w:hAnsi="Times New Roman" w:cs="Times New Roman"/>
          <w:sz w:val="24"/>
          <w:szCs w:val="24"/>
        </w:rPr>
        <w:t xml:space="preserve">, si edhe </w:t>
      </w:r>
      <w:r w:rsidR="00187BC7" w:rsidRPr="00503A01">
        <w:rPr>
          <w:rFonts w:ascii="Times New Roman" w:hAnsi="Times New Roman" w:cs="Times New Roman"/>
          <w:sz w:val="24"/>
          <w:szCs w:val="24"/>
        </w:rPr>
        <w:t>raste t</w:t>
      </w:r>
      <w:r w:rsidR="005B79B4" w:rsidRPr="00503A01">
        <w:rPr>
          <w:rFonts w:ascii="Times New Roman" w:hAnsi="Times New Roman" w:cs="Times New Roman"/>
          <w:sz w:val="24"/>
          <w:szCs w:val="24"/>
        </w:rPr>
        <w:t>ë</w:t>
      </w:r>
      <w:r w:rsidR="00187BC7" w:rsidRPr="00503A01">
        <w:rPr>
          <w:rFonts w:ascii="Times New Roman" w:hAnsi="Times New Roman" w:cs="Times New Roman"/>
          <w:sz w:val="24"/>
          <w:szCs w:val="24"/>
        </w:rPr>
        <w:t xml:space="preserve"> dyshuara me pjes</w:t>
      </w:r>
      <w:r w:rsidR="005B79B4" w:rsidRPr="00503A01">
        <w:rPr>
          <w:rFonts w:ascii="Times New Roman" w:hAnsi="Times New Roman" w:cs="Times New Roman"/>
          <w:sz w:val="24"/>
          <w:szCs w:val="24"/>
        </w:rPr>
        <w:t>ë</w:t>
      </w:r>
      <w:r w:rsidR="00187BC7" w:rsidRPr="00503A01">
        <w:rPr>
          <w:rFonts w:ascii="Times New Roman" w:hAnsi="Times New Roman" w:cs="Times New Roman"/>
          <w:sz w:val="24"/>
          <w:szCs w:val="24"/>
        </w:rPr>
        <w:t xml:space="preserve">marrjen e </w:t>
      </w:r>
      <w:r w:rsidR="00351285" w:rsidRPr="00503A01">
        <w:rPr>
          <w:rFonts w:ascii="Times New Roman" w:hAnsi="Times New Roman" w:cs="Times New Roman"/>
          <w:sz w:val="24"/>
          <w:szCs w:val="24"/>
        </w:rPr>
        <w:t>punonj</w:t>
      </w:r>
      <w:r w:rsidR="00187BC7" w:rsidRPr="00503A01">
        <w:rPr>
          <w:rFonts w:ascii="Times New Roman" w:hAnsi="Times New Roman" w:cs="Times New Roman"/>
          <w:sz w:val="24"/>
          <w:szCs w:val="24"/>
        </w:rPr>
        <w:t>ë</w:t>
      </w:r>
      <w:r w:rsidR="00351285" w:rsidRPr="00503A01">
        <w:rPr>
          <w:rFonts w:ascii="Times New Roman" w:hAnsi="Times New Roman" w:cs="Times New Roman"/>
          <w:sz w:val="24"/>
          <w:szCs w:val="24"/>
        </w:rPr>
        <w:t>s</w:t>
      </w:r>
      <w:r w:rsidR="00187BC7" w:rsidRPr="00503A01">
        <w:rPr>
          <w:rFonts w:ascii="Times New Roman" w:hAnsi="Times New Roman" w:cs="Times New Roman"/>
          <w:sz w:val="24"/>
          <w:szCs w:val="24"/>
        </w:rPr>
        <w:t>ve</w:t>
      </w:r>
      <w:r w:rsidR="00351285" w:rsidRPr="00503A01">
        <w:rPr>
          <w:rFonts w:ascii="Times New Roman" w:hAnsi="Times New Roman" w:cs="Times New Roman"/>
          <w:sz w:val="24"/>
          <w:szCs w:val="24"/>
        </w:rPr>
        <w:t xml:space="preserve"> t</w:t>
      </w:r>
      <w:r w:rsidR="00187BC7" w:rsidRPr="00503A01">
        <w:rPr>
          <w:rFonts w:ascii="Times New Roman" w:hAnsi="Times New Roman" w:cs="Times New Roman"/>
          <w:sz w:val="24"/>
          <w:szCs w:val="24"/>
        </w:rPr>
        <w:t>ë</w:t>
      </w:r>
      <w:r w:rsidR="00351285" w:rsidRPr="00503A01">
        <w:rPr>
          <w:rFonts w:ascii="Times New Roman" w:hAnsi="Times New Roman" w:cs="Times New Roman"/>
          <w:sz w:val="24"/>
          <w:szCs w:val="24"/>
        </w:rPr>
        <w:t xml:space="preserve"> IMT</w:t>
      </w:r>
      <w:r w:rsidRPr="00503A01">
        <w:rPr>
          <w:rFonts w:ascii="Times New Roman" w:hAnsi="Times New Roman" w:cs="Times New Roman"/>
          <w:sz w:val="24"/>
          <w:szCs w:val="24"/>
        </w:rPr>
        <w:t>. Policia e Shtetit ka dokumentuar edhe në operacione të tjera praktikën e angazhimit të përbashkët të strukturave vendore dhe qendrore, përfshirë Forcën Kombëtare të Sigurisë, RENEA-n dhe strukturat e Policisë Kriminale.</w:t>
      </w:r>
      <w:r w:rsidR="00084B46" w:rsidRPr="00503A01">
        <w:rPr>
          <w:rStyle w:val="FootnoteReference"/>
          <w:rFonts w:ascii="Times New Roman" w:hAnsi="Times New Roman" w:cs="Times New Roman"/>
          <w:sz w:val="24"/>
          <w:szCs w:val="24"/>
        </w:rPr>
        <w:footnoteReference w:id="11"/>
      </w:r>
    </w:p>
    <w:p w14:paraId="0317F659" w14:textId="77777777" w:rsidR="000D73C9" w:rsidRPr="00503A01" w:rsidRDefault="000D73C9" w:rsidP="000D73C9">
      <w:pPr>
        <w:spacing w:after="0" w:line="240" w:lineRule="auto"/>
        <w:jc w:val="both"/>
        <w:rPr>
          <w:rFonts w:ascii="Times New Roman" w:hAnsi="Times New Roman" w:cs="Times New Roman"/>
          <w:sz w:val="24"/>
          <w:szCs w:val="24"/>
        </w:rPr>
      </w:pPr>
    </w:p>
    <w:p w14:paraId="6D48A3D9" w14:textId="2EDD83D9" w:rsidR="000D73C9" w:rsidRPr="00503A01" w:rsidRDefault="000D73C9" w:rsidP="000D73C9">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Për këtë arsye, </w:t>
      </w:r>
      <w:r w:rsidRPr="00503A01">
        <w:rPr>
          <w:rFonts w:ascii="Times New Roman" w:hAnsi="Times New Roman" w:cs="Times New Roman"/>
          <w:b/>
          <w:bCs/>
          <w:i/>
          <w:sz w:val="24"/>
          <w:szCs w:val="24"/>
        </w:rPr>
        <w:t>duhet të përcaktohen për çdo operacion njësitë konkretisht të angazhuara, autoritetet që kanë urdhëruar dislokimin e tyre dhe zinxhiri përkatës i komandimit</w:t>
      </w:r>
      <w:r w:rsidRPr="00503A01">
        <w:rPr>
          <w:rFonts w:ascii="Times New Roman" w:hAnsi="Times New Roman" w:cs="Times New Roman"/>
          <w:i/>
          <w:sz w:val="24"/>
          <w:szCs w:val="24"/>
        </w:rPr>
        <w:t>,</w:t>
      </w:r>
      <w:r w:rsidRPr="00503A01">
        <w:rPr>
          <w:rFonts w:ascii="Times New Roman" w:hAnsi="Times New Roman" w:cs="Times New Roman"/>
          <w:sz w:val="24"/>
          <w:szCs w:val="24"/>
        </w:rPr>
        <w:t xml:space="preserve"> duke dalluar varësinë strukturore nga drejtimi operacional. Veçanërisht duhet të hetohet cili autoritet ka qenë përgjegjës për pajisjen e efektivëve, zbatimin e procedurave të identifikimit dhe kontrollin e tyre, përfshirë njësitë e dislokuara nga strukturat qendrore ose të veçanta.</w:t>
      </w:r>
    </w:p>
    <w:p w14:paraId="29819C52" w14:textId="77777777" w:rsidR="00485AF1" w:rsidRPr="00503A01" w:rsidRDefault="00485AF1" w:rsidP="0092219E">
      <w:pPr>
        <w:spacing w:after="0" w:line="240" w:lineRule="auto"/>
        <w:jc w:val="both"/>
        <w:rPr>
          <w:rFonts w:ascii="Times New Roman" w:hAnsi="Times New Roman" w:cs="Times New Roman"/>
          <w:sz w:val="24"/>
          <w:szCs w:val="24"/>
        </w:rPr>
      </w:pPr>
    </w:p>
    <w:p w14:paraId="1AF8D895" w14:textId="3AD53774" w:rsidR="0092219E" w:rsidRPr="00503A01" w:rsidRDefault="00D5482A" w:rsidP="00FE0A0F">
      <w:pPr>
        <w:pStyle w:val="ListParagraph"/>
        <w:numPr>
          <w:ilvl w:val="0"/>
          <w:numId w:val="9"/>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Shtrirja territoriale e ndërhyrjeve policore dhe koordinimi institucional</w:t>
      </w:r>
    </w:p>
    <w:p w14:paraId="00D84E0E" w14:textId="77777777" w:rsidR="00C244D4" w:rsidRPr="00503A01" w:rsidRDefault="00C244D4" w:rsidP="00C244D4">
      <w:pPr>
        <w:pStyle w:val="ListParagraph"/>
        <w:spacing w:after="0" w:line="240" w:lineRule="auto"/>
        <w:jc w:val="both"/>
        <w:rPr>
          <w:rFonts w:ascii="Times New Roman" w:hAnsi="Times New Roman" w:cs="Times New Roman"/>
          <w:b/>
          <w:bCs/>
          <w:sz w:val="24"/>
          <w:szCs w:val="24"/>
        </w:rPr>
      </w:pPr>
    </w:p>
    <w:p w14:paraId="39190895" w14:textId="2A6EDC81" w:rsidR="00D0613C" w:rsidRPr="00503A01" w:rsidRDefault="00D0613C" w:rsidP="00D0613C">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Më 16.10.2026, Drejtori i Departamentit për Sigurinë Publike, Dhimitraq Ziu, konfirmoi publikisht kryerjen e veprimeve hetimore lidhur me protestat në Tiranë, Korçë, Shkodër, Kukës, Elbasan, Durrës dhe Vlorë, si dhe ngritjen e grupeve të posaçme hetimore, në bashkëpunim me prokuroritë, për administrimin dhe analizimin e provave ndaj protestuesve.</w:t>
      </w:r>
      <w:r w:rsidRPr="00503A01">
        <w:rPr>
          <w:rStyle w:val="FootnoteReference"/>
          <w:rFonts w:ascii="Times New Roman" w:hAnsi="Times New Roman" w:cs="Times New Roman"/>
          <w:sz w:val="24"/>
          <w:szCs w:val="24"/>
        </w:rPr>
        <w:footnoteReference w:id="12"/>
      </w:r>
      <w:r w:rsidRPr="00503A01">
        <w:rPr>
          <w:rFonts w:ascii="Times New Roman" w:hAnsi="Times New Roman" w:cs="Times New Roman"/>
          <w:sz w:val="24"/>
          <w:szCs w:val="24"/>
        </w:rPr>
        <w:t xml:space="preserve"> Ky koordinim qendror dhe vendor dëshmon ekzistencën e kapaciteteve institucionale për hetime në disa qytete njëkohësisht, ndaj duhet të verifikohet nëse mekanizma të krahasueshëm janë përdorur edhe për denoncimet ndaj vetë punonjësve të policisë.</w:t>
      </w:r>
    </w:p>
    <w:p w14:paraId="73A5778C" w14:textId="77777777" w:rsidR="00D0613C" w:rsidRPr="00503A01" w:rsidRDefault="00D0613C" w:rsidP="00D0613C">
      <w:pPr>
        <w:spacing w:after="0" w:line="240" w:lineRule="auto"/>
        <w:jc w:val="both"/>
        <w:rPr>
          <w:rFonts w:ascii="Times New Roman" w:hAnsi="Times New Roman" w:cs="Times New Roman"/>
          <w:sz w:val="24"/>
          <w:szCs w:val="24"/>
        </w:rPr>
      </w:pPr>
    </w:p>
    <w:p w14:paraId="106B16DF" w14:textId="10388553" w:rsidR="00D0613C" w:rsidRPr="00503A01" w:rsidRDefault="00D0613C" w:rsidP="00D0613C">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 xml:space="preserve">Në </w:t>
      </w:r>
      <w:r w:rsidRPr="00503A01">
        <w:rPr>
          <w:rFonts w:ascii="Times New Roman" w:hAnsi="Times New Roman" w:cs="Times New Roman"/>
          <w:bCs/>
          <w:sz w:val="24"/>
          <w:szCs w:val="24"/>
        </w:rPr>
        <w:t>Durrës</w:t>
      </w:r>
      <w:r w:rsidRPr="00503A01">
        <w:rPr>
          <w:rFonts w:ascii="Times New Roman" w:hAnsi="Times New Roman" w:cs="Times New Roman"/>
          <w:sz w:val="24"/>
          <w:szCs w:val="24"/>
        </w:rPr>
        <w:t>, gjatë datave 15</w:t>
      </w:r>
      <w:r w:rsidR="0046705C" w:rsidRPr="00503A01">
        <w:rPr>
          <w:rFonts w:ascii="Times New Roman" w:hAnsi="Times New Roman" w:cs="Times New Roman"/>
          <w:sz w:val="24"/>
          <w:szCs w:val="24"/>
        </w:rPr>
        <w:t>-</w:t>
      </w:r>
      <w:r w:rsidRPr="00503A01">
        <w:rPr>
          <w:rFonts w:ascii="Times New Roman" w:hAnsi="Times New Roman" w:cs="Times New Roman"/>
          <w:sz w:val="24"/>
          <w:szCs w:val="24"/>
        </w:rPr>
        <w:t xml:space="preserve">17.10.2026 janë raportuar shoqërime të shumta studentësh, përfshirë 27 persona më 16 tetor, si dhe ndërhyrje të pretenduara si të dhunshme. Fotoreporteri Raimond Lueppken ka denoncuar gjithashtu se dy persona me veshje civile i kanë kërkuar fshirjen e regjistrimeve filmike. Në </w:t>
      </w:r>
      <w:r w:rsidRPr="00503A01">
        <w:rPr>
          <w:rFonts w:ascii="Times New Roman" w:hAnsi="Times New Roman" w:cs="Times New Roman"/>
          <w:bCs/>
          <w:sz w:val="24"/>
          <w:szCs w:val="24"/>
        </w:rPr>
        <w:t>Pogradec dhe Korçë</w:t>
      </w:r>
      <w:r w:rsidRPr="00503A01">
        <w:rPr>
          <w:rFonts w:ascii="Times New Roman" w:hAnsi="Times New Roman" w:cs="Times New Roman"/>
          <w:sz w:val="24"/>
          <w:szCs w:val="24"/>
        </w:rPr>
        <w:t xml:space="preserve"> janë publikuar pamje të përdorimit të forcës ndaj protestuesve të rinj, për të cilat duhet saktësuar nëse bëhet fjalë për të njëjtën ngjarje. Në </w:t>
      </w:r>
      <w:r w:rsidRPr="00503A01">
        <w:rPr>
          <w:rFonts w:ascii="Times New Roman" w:hAnsi="Times New Roman" w:cs="Times New Roman"/>
          <w:bCs/>
          <w:sz w:val="24"/>
          <w:szCs w:val="24"/>
        </w:rPr>
        <w:t>Shkodër</w:t>
      </w:r>
      <w:r w:rsidRPr="00503A01">
        <w:rPr>
          <w:rFonts w:ascii="Times New Roman" w:hAnsi="Times New Roman" w:cs="Times New Roman"/>
          <w:sz w:val="24"/>
          <w:szCs w:val="24"/>
        </w:rPr>
        <w:t xml:space="preserve"> janë raportuar kapje të protestuesve nga persona me veshje civile dhe shoqërime të të miturve, përfshirë një fëmijë 10-vjeçar.</w:t>
      </w:r>
      <w:r w:rsidR="0046705C" w:rsidRPr="00503A01">
        <w:rPr>
          <w:rStyle w:val="FootnoteReference"/>
          <w:rFonts w:ascii="Times New Roman" w:hAnsi="Times New Roman" w:cs="Times New Roman"/>
          <w:sz w:val="24"/>
          <w:szCs w:val="24"/>
        </w:rPr>
        <w:footnoteReference w:id="13"/>
      </w:r>
      <w:r w:rsidRPr="00503A01">
        <w:rPr>
          <w:rFonts w:ascii="Times New Roman" w:hAnsi="Times New Roman" w:cs="Times New Roman"/>
          <w:sz w:val="24"/>
          <w:szCs w:val="24"/>
        </w:rPr>
        <w:t xml:space="preserve"> Në </w:t>
      </w:r>
      <w:r w:rsidRPr="00503A01">
        <w:rPr>
          <w:rFonts w:ascii="Times New Roman" w:hAnsi="Times New Roman" w:cs="Times New Roman"/>
          <w:bCs/>
          <w:sz w:val="24"/>
          <w:szCs w:val="24"/>
        </w:rPr>
        <w:t>Vlorë</w:t>
      </w:r>
      <w:r w:rsidRPr="00503A01">
        <w:rPr>
          <w:rFonts w:ascii="Times New Roman" w:hAnsi="Times New Roman" w:cs="Times New Roman"/>
          <w:sz w:val="24"/>
          <w:szCs w:val="24"/>
        </w:rPr>
        <w:t xml:space="preserve">, më 19.10.2026, policia konfirmoi ndërhyrjen në Universitetin “Ismail Qemali” dhe shoqërimin e gjashtë personave, </w:t>
      </w:r>
      <w:r w:rsidR="00187BC7" w:rsidRPr="00503A01">
        <w:rPr>
          <w:rFonts w:ascii="Times New Roman" w:hAnsi="Times New Roman" w:cs="Times New Roman"/>
          <w:sz w:val="24"/>
          <w:szCs w:val="24"/>
        </w:rPr>
        <w:t>d</w:t>
      </w:r>
      <w:r w:rsidRPr="00503A01">
        <w:rPr>
          <w:rFonts w:ascii="Times New Roman" w:hAnsi="Times New Roman" w:cs="Times New Roman"/>
          <w:sz w:val="24"/>
          <w:szCs w:val="24"/>
        </w:rPr>
        <w:t>uke iu referuar edhe pamjeve të publikuara në rrjetet sociale.</w:t>
      </w:r>
      <w:r w:rsidR="0046705C" w:rsidRPr="00503A01">
        <w:rPr>
          <w:rStyle w:val="FootnoteReference"/>
          <w:rFonts w:ascii="Times New Roman" w:hAnsi="Times New Roman" w:cs="Times New Roman"/>
          <w:sz w:val="24"/>
          <w:szCs w:val="24"/>
        </w:rPr>
        <w:footnoteReference w:id="14"/>
      </w:r>
      <w:r w:rsidRPr="00503A01">
        <w:rPr>
          <w:rFonts w:ascii="Times New Roman" w:hAnsi="Times New Roman" w:cs="Times New Roman"/>
          <w:sz w:val="24"/>
          <w:szCs w:val="24"/>
        </w:rPr>
        <w:t xml:space="preserve"> Ndërkohë, Avokati i Popullit ka konfirmuar monitorime në komisariatet e Korçës, Vlorës dhe Shkodrës, krahas Tiranës.</w:t>
      </w:r>
      <w:r w:rsidR="0046705C" w:rsidRPr="00503A01">
        <w:rPr>
          <w:rStyle w:val="FootnoteReference"/>
          <w:rFonts w:ascii="Times New Roman" w:hAnsi="Times New Roman" w:cs="Times New Roman"/>
          <w:sz w:val="24"/>
          <w:szCs w:val="24"/>
        </w:rPr>
        <w:footnoteReference w:id="15"/>
      </w:r>
    </w:p>
    <w:p w14:paraId="3F1E84C4" w14:textId="77777777" w:rsidR="00D0613C" w:rsidRPr="00503A01" w:rsidRDefault="00D0613C" w:rsidP="00D0613C">
      <w:pPr>
        <w:spacing w:after="0" w:line="240" w:lineRule="auto"/>
        <w:jc w:val="both"/>
        <w:rPr>
          <w:rFonts w:ascii="Times New Roman" w:hAnsi="Times New Roman" w:cs="Times New Roman"/>
          <w:b/>
          <w:bCs/>
          <w:sz w:val="24"/>
          <w:szCs w:val="24"/>
        </w:rPr>
      </w:pPr>
    </w:p>
    <w:p w14:paraId="77591B36" w14:textId="78557178" w:rsidR="00D0613C" w:rsidRPr="00503A01" w:rsidRDefault="00D0613C" w:rsidP="00D0613C">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Këto episode</w:t>
      </w:r>
      <w:r w:rsidR="0046705C" w:rsidRPr="00503A01">
        <w:rPr>
          <w:rFonts w:ascii="Times New Roman" w:hAnsi="Times New Roman" w:cs="Times New Roman"/>
          <w:b/>
          <w:bCs/>
          <w:i/>
          <w:sz w:val="24"/>
          <w:szCs w:val="24"/>
        </w:rPr>
        <w:t>, dhe shum</w:t>
      </w:r>
      <w:r w:rsidR="00F11591" w:rsidRPr="00503A01">
        <w:rPr>
          <w:rFonts w:ascii="Times New Roman" w:hAnsi="Times New Roman" w:cs="Times New Roman"/>
          <w:b/>
          <w:bCs/>
          <w:i/>
          <w:sz w:val="24"/>
          <w:szCs w:val="24"/>
        </w:rPr>
        <w:t>ë</w:t>
      </w:r>
      <w:r w:rsidR="0046705C" w:rsidRPr="00503A01">
        <w:rPr>
          <w:rFonts w:ascii="Times New Roman" w:hAnsi="Times New Roman" w:cs="Times New Roman"/>
          <w:b/>
          <w:bCs/>
          <w:i/>
          <w:sz w:val="24"/>
          <w:szCs w:val="24"/>
        </w:rPr>
        <w:t xml:space="preserve"> t</w:t>
      </w:r>
      <w:r w:rsidR="00F11591" w:rsidRPr="00503A01">
        <w:rPr>
          <w:rFonts w:ascii="Times New Roman" w:hAnsi="Times New Roman" w:cs="Times New Roman"/>
          <w:b/>
          <w:bCs/>
          <w:i/>
          <w:sz w:val="24"/>
          <w:szCs w:val="24"/>
        </w:rPr>
        <w:t>ë</w:t>
      </w:r>
      <w:r w:rsidR="0046705C" w:rsidRPr="00503A01">
        <w:rPr>
          <w:rFonts w:ascii="Times New Roman" w:hAnsi="Times New Roman" w:cs="Times New Roman"/>
          <w:b/>
          <w:bCs/>
          <w:i/>
          <w:sz w:val="24"/>
          <w:szCs w:val="24"/>
        </w:rPr>
        <w:t xml:space="preserve"> tjer</w:t>
      </w:r>
      <w:r w:rsidR="00F11591" w:rsidRPr="00503A01">
        <w:rPr>
          <w:rFonts w:ascii="Times New Roman" w:hAnsi="Times New Roman" w:cs="Times New Roman"/>
          <w:b/>
          <w:bCs/>
          <w:i/>
          <w:sz w:val="24"/>
          <w:szCs w:val="24"/>
        </w:rPr>
        <w:t>ë</w:t>
      </w:r>
      <w:r w:rsidR="0046705C" w:rsidRPr="00503A01">
        <w:rPr>
          <w:rFonts w:ascii="Times New Roman" w:hAnsi="Times New Roman" w:cs="Times New Roman"/>
          <w:b/>
          <w:bCs/>
          <w:i/>
          <w:sz w:val="24"/>
          <w:szCs w:val="24"/>
        </w:rPr>
        <w:t xml:space="preserve"> q</w:t>
      </w:r>
      <w:r w:rsidR="00F11591" w:rsidRPr="00503A01">
        <w:rPr>
          <w:rFonts w:ascii="Times New Roman" w:hAnsi="Times New Roman" w:cs="Times New Roman"/>
          <w:b/>
          <w:bCs/>
          <w:i/>
          <w:sz w:val="24"/>
          <w:szCs w:val="24"/>
        </w:rPr>
        <w:t>ë</w:t>
      </w:r>
      <w:r w:rsidR="0046705C" w:rsidRPr="00503A01">
        <w:rPr>
          <w:rFonts w:ascii="Times New Roman" w:hAnsi="Times New Roman" w:cs="Times New Roman"/>
          <w:b/>
          <w:bCs/>
          <w:i/>
          <w:sz w:val="24"/>
          <w:szCs w:val="24"/>
        </w:rPr>
        <w:t xml:space="preserve"> jan</w:t>
      </w:r>
      <w:r w:rsidR="00F11591" w:rsidRPr="00503A01">
        <w:rPr>
          <w:rFonts w:ascii="Times New Roman" w:hAnsi="Times New Roman" w:cs="Times New Roman"/>
          <w:b/>
          <w:bCs/>
          <w:i/>
          <w:sz w:val="24"/>
          <w:szCs w:val="24"/>
        </w:rPr>
        <w:t>ë</w:t>
      </w:r>
      <w:r w:rsidR="0046705C" w:rsidRPr="00503A01">
        <w:rPr>
          <w:rFonts w:ascii="Times New Roman" w:hAnsi="Times New Roman" w:cs="Times New Roman"/>
          <w:b/>
          <w:bCs/>
          <w:i/>
          <w:sz w:val="24"/>
          <w:szCs w:val="24"/>
        </w:rPr>
        <w:t xml:space="preserve"> publikuar n</w:t>
      </w:r>
      <w:r w:rsidR="00F11591" w:rsidRPr="00503A01">
        <w:rPr>
          <w:rFonts w:ascii="Times New Roman" w:hAnsi="Times New Roman" w:cs="Times New Roman"/>
          <w:b/>
          <w:bCs/>
          <w:i/>
          <w:sz w:val="24"/>
          <w:szCs w:val="24"/>
        </w:rPr>
        <w:t>ë</w:t>
      </w:r>
      <w:r w:rsidR="0046705C" w:rsidRPr="00503A01">
        <w:rPr>
          <w:rFonts w:ascii="Times New Roman" w:hAnsi="Times New Roman" w:cs="Times New Roman"/>
          <w:b/>
          <w:bCs/>
          <w:i/>
          <w:sz w:val="24"/>
          <w:szCs w:val="24"/>
        </w:rPr>
        <w:t xml:space="preserve"> media dhe rrjete sociale,</w:t>
      </w:r>
      <w:r w:rsidRPr="00503A01">
        <w:rPr>
          <w:rFonts w:ascii="Times New Roman" w:hAnsi="Times New Roman" w:cs="Times New Roman"/>
          <w:b/>
          <w:bCs/>
          <w:i/>
          <w:sz w:val="24"/>
          <w:szCs w:val="24"/>
        </w:rPr>
        <w:t xml:space="preserve"> kërkojnë hetimin nëse ngjashmëritë e pretenduara në përdorimin e forcës, shoqërimet, mosidentifikimin e efektivëve dhe pengimin e dokumentimit burojnë nga veprime të pavarura vendore apo nga praktika dhe udhëzime të përbashkëta.</w:t>
      </w:r>
      <w:r w:rsidRPr="00503A01">
        <w:rPr>
          <w:rFonts w:ascii="Times New Roman" w:hAnsi="Times New Roman" w:cs="Times New Roman"/>
          <w:sz w:val="24"/>
          <w:szCs w:val="24"/>
        </w:rPr>
        <w:t xml:space="preserve"> Për këtë qëllim, SPAK duhet të administrojë dokumentacionin operacional, urdhrat, regjistrimet filmike dhe materialet e monitorimit në qytetet përkatëse, duke përcaktuar strukturat e angazhuara, zinxhirin e komandimit dhe reagimin institucional ndaj denoncimeve për shkelje nga punonjësit e policisë.</w:t>
      </w:r>
    </w:p>
    <w:p w14:paraId="5DF2F3EB" w14:textId="77777777" w:rsidR="00485AF1" w:rsidRPr="00503A01" w:rsidRDefault="00485AF1" w:rsidP="0092219E">
      <w:pPr>
        <w:spacing w:after="0" w:line="240" w:lineRule="auto"/>
        <w:jc w:val="both"/>
        <w:rPr>
          <w:rFonts w:ascii="Times New Roman" w:hAnsi="Times New Roman" w:cs="Times New Roman"/>
          <w:b/>
          <w:bCs/>
          <w:sz w:val="24"/>
          <w:szCs w:val="24"/>
        </w:rPr>
      </w:pPr>
    </w:p>
    <w:p w14:paraId="069A8226" w14:textId="5534C11B" w:rsidR="0092219E" w:rsidRPr="00503A01" w:rsidRDefault="00695A04" w:rsidP="00FE0A0F">
      <w:pPr>
        <w:pStyle w:val="ListParagraph"/>
        <w:numPr>
          <w:ilvl w:val="0"/>
          <w:numId w:val="9"/>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Përdorimi i njësive të përbashkëta, standardizimi i procedurave dhe trajnimi</w:t>
      </w:r>
    </w:p>
    <w:p w14:paraId="17258A49" w14:textId="77777777" w:rsidR="002B5539" w:rsidRPr="00503A01" w:rsidRDefault="002B5539" w:rsidP="002B5539">
      <w:pPr>
        <w:pStyle w:val="ListParagraph"/>
        <w:spacing w:after="0" w:line="240" w:lineRule="auto"/>
        <w:jc w:val="both"/>
        <w:rPr>
          <w:rFonts w:ascii="Times New Roman" w:hAnsi="Times New Roman" w:cs="Times New Roman"/>
          <w:b/>
          <w:bCs/>
          <w:sz w:val="24"/>
          <w:szCs w:val="24"/>
        </w:rPr>
      </w:pPr>
    </w:p>
    <w:p w14:paraId="410BF8D4" w14:textId="77777777" w:rsidR="003E07DA" w:rsidRPr="00503A01" w:rsidRDefault="003E07DA" w:rsidP="003E07DA">
      <w:pPr>
        <w:spacing w:after="0" w:line="240" w:lineRule="auto"/>
        <w:jc w:val="both"/>
        <w:rPr>
          <w:rFonts w:ascii="Times New Roman" w:hAnsi="Times New Roman" w:cs="Times New Roman"/>
          <w:b/>
          <w:bCs/>
          <w:sz w:val="24"/>
          <w:szCs w:val="24"/>
        </w:rPr>
      </w:pPr>
      <w:r w:rsidRPr="00503A01">
        <w:rPr>
          <w:rFonts w:ascii="Times New Roman" w:hAnsi="Times New Roman" w:cs="Times New Roman"/>
          <w:sz w:val="24"/>
          <w:szCs w:val="24"/>
        </w:rPr>
        <w:t xml:space="preserve">Sipas nenit 52 të ligjit nr. 82/2024, strukturat e veçanta të Policisë së Shtetit mund të veprojnë në territore të ndryshme, nën varësinë e drejtuesve qendrorë. Për këtë arsye, duhet të hetohet nëse gjatë protestave në qytete të ndryshme janë angazhuar të njëjtat njësi ose struktura me komandim, pajisje dhe procedura të përbashkëta, si dhe kush ka urdhëruar dislokimin e tyre. </w:t>
      </w:r>
      <w:r w:rsidRPr="00503A01">
        <w:rPr>
          <w:rFonts w:ascii="Times New Roman" w:hAnsi="Times New Roman" w:cs="Times New Roman"/>
          <w:b/>
          <w:bCs/>
          <w:i/>
          <w:sz w:val="24"/>
          <w:szCs w:val="24"/>
        </w:rPr>
        <w:t>Nëse mungesa e identifikuesve buron nga pajisjet ose procedurat e standardizuara, përgjegjësia duhet të kërkohet edhe te autoritetet që i kanë miratuar; nëse buron nga veprime individuale, duhet të hetohet edhe kontrolli i ushtruar nga drejtuesit përkatës.</w:t>
      </w:r>
    </w:p>
    <w:p w14:paraId="4BCA797C" w14:textId="77777777" w:rsidR="00695A04" w:rsidRPr="00503A01" w:rsidRDefault="00695A04" w:rsidP="003E07DA">
      <w:pPr>
        <w:spacing w:after="0" w:line="240" w:lineRule="auto"/>
        <w:jc w:val="both"/>
        <w:rPr>
          <w:rFonts w:ascii="Times New Roman" w:hAnsi="Times New Roman" w:cs="Times New Roman"/>
          <w:sz w:val="24"/>
          <w:szCs w:val="24"/>
        </w:rPr>
      </w:pPr>
    </w:p>
    <w:p w14:paraId="0355B104" w14:textId="77777777" w:rsidR="003E07DA" w:rsidRPr="00503A01" w:rsidRDefault="003E07DA" w:rsidP="003E07DA">
      <w:pPr>
        <w:spacing w:after="0" w:line="240" w:lineRule="auto"/>
        <w:jc w:val="both"/>
        <w:rPr>
          <w:rFonts w:ascii="Times New Roman" w:hAnsi="Times New Roman" w:cs="Times New Roman"/>
          <w:i/>
          <w:sz w:val="24"/>
          <w:szCs w:val="24"/>
        </w:rPr>
      </w:pPr>
      <w:r w:rsidRPr="00503A01">
        <w:rPr>
          <w:rFonts w:ascii="Times New Roman" w:hAnsi="Times New Roman" w:cs="Times New Roman"/>
          <w:sz w:val="24"/>
          <w:szCs w:val="24"/>
        </w:rPr>
        <w:t xml:space="preserve">Hetimi duhet të përfshijë administrimin e procedurave dhe udhëzimeve të përbashkëta mbi përdorimin e forcës gjatë tubimeve, identifikimin e efektivëve të uniformuar dhe civilë, përdorimin e predhave kinetike, gazit lotsjellës, sprajit dhe ujit me presion, dokumentimin e operacioneve, marrëdhëniet me gazetarët dhe raportimin e shkeljeve. Gjithashtu, në zbatim të nenit 80 të ligjit nr. 82/2024, që parashikon formimin e vazhduar të detyrueshëm, duhet të administrohen programet e trajnimit dhe evidencat e kualifikimit të efektivëve. </w:t>
      </w:r>
      <w:r w:rsidRPr="00503A01">
        <w:rPr>
          <w:rFonts w:ascii="Times New Roman" w:hAnsi="Times New Roman" w:cs="Times New Roman"/>
          <w:b/>
          <w:bCs/>
          <w:i/>
          <w:sz w:val="24"/>
          <w:szCs w:val="24"/>
        </w:rPr>
        <w:t>Qëllimi është të përcaktohet nëse praktikat e përsëritura të dyshuara lidhen me mangësi sistemike në procedura, pajisje ose trajnim, me shkelje individuale apo me vendimmarrje të qëllimshme që i ka lejuar ose nxitur ato.</w:t>
      </w:r>
    </w:p>
    <w:p w14:paraId="37C77E22" w14:textId="205A3E12" w:rsidR="0092219E" w:rsidRPr="00503A01" w:rsidRDefault="0092219E" w:rsidP="0092219E">
      <w:pPr>
        <w:spacing w:after="0" w:line="240" w:lineRule="auto"/>
        <w:jc w:val="both"/>
        <w:rPr>
          <w:rFonts w:ascii="Times New Roman" w:hAnsi="Times New Roman" w:cs="Times New Roman"/>
          <w:sz w:val="24"/>
          <w:szCs w:val="24"/>
        </w:rPr>
      </w:pPr>
    </w:p>
    <w:p w14:paraId="6E8391B7" w14:textId="77777777" w:rsidR="002320B4" w:rsidRPr="00503A01" w:rsidRDefault="002320B4" w:rsidP="0092219E">
      <w:pPr>
        <w:spacing w:after="0" w:line="240" w:lineRule="auto"/>
        <w:jc w:val="both"/>
        <w:rPr>
          <w:rFonts w:ascii="Times New Roman" w:hAnsi="Times New Roman" w:cs="Times New Roman"/>
          <w:sz w:val="24"/>
          <w:szCs w:val="24"/>
        </w:rPr>
      </w:pPr>
    </w:p>
    <w:p w14:paraId="0D71F4C2" w14:textId="77777777" w:rsidR="002320B4" w:rsidRPr="00503A01" w:rsidRDefault="002320B4" w:rsidP="0092219E">
      <w:pPr>
        <w:spacing w:after="0" w:line="240" w:lineRule="auto"/>
        <w:jc w:val="both"/>
        <w:rPr>
          <w:rFonts w:ascii="Times New Roman" w:hAnsi="Times New Roman" w:cs="Times New Roman"/>
          <w:sz w:val="24"/>
          <w:szCs w:val="24"/>
        </w:rPr>
      </w:pPr>
    </w:p>
    <w:p w14:paraId="690A5DDF" w14:textId="77777777" w:rsidR="002320B4" w:rsidRPr="00503A01" w:rsidRDefault="002320B4" w:rsidP="0092219E">
      <w:pPr>
        <w:spacing w:after="0" w:line="240" w:lineRule="auto"/>
        <w:jc w:val="both"/>
        <w:rPr>
          <w:rFonts w:ascii="Times New Roman" w:hAnsi="Times New Roman" w:cs="Times New Roman"/>
          <w:sz w:val="24"/>
          <w:szCs w:val="24"/>
        </w:rPr>
      </w:pPr>
    </w:p>
    <w:p w14:paraId="2E473755" w14:textId="38841E81" w:rsidR="0092219E" w:rsidRPr="00503A01" w:rsidRDefault="0092219E" w:rsidP="00FE0A0F">
      <w:pPr>
        <w:pStyle w:val="ListParagraph"/>
        <w:numPr>
          <w:ilvl w:val="0"/>
          <w:numId w:val="9"/>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lastRenderedPageBreak/>
        <w:t>Vendimmarrja dhe kontrolli i Drejtorit të Përgjithshëm</w:t>
      </w:r>
    </w:p>
    <w:p w14:paraId="6B806A8A" w14:textId="77777777" w:rsidR="00713931" w:rsidRPr="00503A01" w:rsidRDefault="00713931" w:rsidP="00713931">
      <w:pPr>
        <w:pStyle w:val="ListParagraph"/>
        <w:spacing w:after="0" w:line="240" w:lineRule="auto"/>
        <w:jc w:val="both"/>
        <w:rPr>
          <w:rFonts w:ascii="Times New Roman" w:hAnsi="Times New Roman" w:cs="Times New Roman"/>
          <w:b/>
          <w:bCs/>
          <w:sz w:val="24"/>
          <w:szCs w:val="24"/>
          <w:lang w:val="de-AT"/>
        </w:rPr>
      </w:pPr>
    </w:p>
    <w:p w14:paraId="775A6C4A" w14:textId="73F2F0B1" w:rsidR="00B622D3" w:rsidRPr="00503A01" w:rsidRDefault="00B622D3" w:rsidP="00B622D3">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Në kushtet e organizimit të centralizuar të Policisë së Shtetit, Drejtori i Përgjithshëm ka kompetenca për drejtimin, kontrollin dhe miratimin e procedurave të përbashkëta. Në konferencën e datës 17.10.2026, Skënder Hita njoftoi pezullimin e shtatë efektivëve për tejkalim detyre dhe mosrespektim të proporcionalitetit, ndërsa mohoi dhënien e urdhrave në kundërshtim me procedurat standarde, duke deklaruar se punonjësit ishin udhëzuar vazhdimisht për respektimin e ligjit.</w:t>
      </w:r>
      <w:r w:rsidR="00936345" w:rsidRPr="00503A01">
        <w:rPr>
          <w:rStyle w:val="FootnoteReference"/>
          <w:rFonts w:ascii="Times New Roman" w:hAnsi="Times New Roman" w:cs="Times New Roman"/>
          <w:sz w:val="24"/>
          <w:szCs w:val="24"/>
          <w:lang w:val="de-AT"/>
        </w:rPr>
        <w:footnoteReference w:id="16"/>
      </w:r>
      <w:r w:rsidRPr="00503A01">
        <w:rPr>
          <w:rFonts w:ascii="Times New Roman" w:hAnsi="Times New Roman" w:cs="Times New Roman"/>
          <w:sz w:val="24"/>
          <w:szCs w:val="24"/>
          <w:lang w:val="de-AT"/>
        </w:rPr>
        <w:t xml:space="preserve"> Këto deklarime konfirmojnë dijeninë dhe reagimin institucional ndaj disa episodeve, por nuk sqarojnë nëse janë marrë masa për problemet më të gjera të identifikueshmërisë së efektivëve dhe dokumentimit të ndërhyrjeve.</w:t>
      </w:r>
    </w:p>
    <w:p w14:paraId="21005DCD" w14:textId="77777777" w:rsidR="00B622D3" w:rsidRPr="00503A01" w:rsidRDefault="00B622D3" w:rsidP="00B622D3">
      <w:pPr>
        <w:spacing w:after="0" w:line="240" w:lineRule="auto"/>
        <w:jc w:val="both"/>
        <w:rPr>
          <w:rFonts w:ascii="Times New Roman" w:hAnsi="Times New Roman" w:cs="Times New Roman"/>
          <w:sz w:val="24"/>
          <w:szCs w:val="24"/>
          <w:lang w:val="de-AT"/>
        </w:rPr>
      </w:pPr>
    </w:p>
    <w:p w14:paraId="62F94752" w14:textId="77777777" w:rsidR="00B622D3" w:rsidRPr="00503A01" w:rsidRDefault="00B622D3" w:rsidP="00B622D3">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 xml:space="preserve">Për këtë arsye, duhet të hetohet nëse Drejtori i Përgjithshëm ka urdhëruar </w:t>
      </w:r>
      <w:r w:rsidRPr="00503A01">
        <w:rPr>
          <w:rFonts w:ascii="Times New Roman" w:hAnsi="Times New Roman" w:cs="Times New Roman"/>
          <w:b/>
          <w:bCs/>
          <w:i/>
          <w:sz w:val="24"/>
          <w:szCs w:val="24"/>
          <w:lang w:val="de-AT"/>
        </w:rPr>
        <w:t>kontrollin e identifikuesve dhe pajisjeve të efektivëve, sigurimin e regjistrimeve, verifikimin e pengimit të gazetarëve, identifikimin e drejtuesve përgjegjës dhe marrjen e masave për parandalimin e përsëritjes së shkeljeve</w:t>
      </w:r>
      <w:r w:rsidRPr="00503A01">
        <w:rPr>
          <w:rFonts w:ascii="Times New Roman" w:hAnsi="Times New Roman" w:cs="Times New Roman"/>
          <w:i/>
          <w:sz w:val="24"/>
          <w:szCs w:val="24"/>
          <w:lang w:val="de-AT"/>
        </w:rPr>
        <w:t>.</w:t>
      </w:r>
      <w:r w:rsidRPr="00503A01">
        <w:rPr>
          <w:rFonts w:ascii="Times New Roman" w:hAnsi="Times New Roman" w:cs="Times New Roman"/>
          <w:sz w:val="24"/>
          <w:szCs w:val="24"/>
          <w:lang w:val="de-AT"/>
        </w:rPr>
        <w:t xml:space="preserve"> Duhet të administrohen urdhrat dhe raportet përkatëse, të verifikohet zbatimi i tyre dhe, në rast mosmarrjeje të masave, të përcaktohet nëse mosveprimi ka cenuar detyrimet ligjore të funksionit dhe në çfarë rrethanash ka ndodhur.</w:t>
      </w:r>
    </w:p>
    <w:p w14:paraId="64993593" w14:textId="77777777" w:rsidR="00485AF1" w:rsidRPr="00503A01" w:rsidRDefault="00485AF1" w:rsidP="0092219E">
      <w:pPr>
        <w:spacing w:after="0" w:line="240" w:lineRule="auto"/>
        <w:jc w:val="both"/>
        <w:rPr>
          <w:rFonts w:ascii="Times New Roman" w:hAnsi="Times New Roman" w:cs="Times New Roman"/>
          <w:b/>
          <w:bCs/>
          <w:sz w:val="24"/>
          <w:szCs w:val="24"/>
          <w:lang w:val="de-AT"/>
        </w:rPr>
      </w:pPr>
    </w:p>
    <w:p w14:paraId="2206FF26" w14:textId="69600EC1" w:rsidR="0092219E" w:rsidRPr="00503A01" w:rsidRDefault="009343EE" w:rsidP="00FE0A0F">
      <w:pPr>
        <w:pStyle w:val="ListParagraph"/>
        <w:numPr>
          <w:ilvl w:val="0"/>
          <w:numId w:val="9"/>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Kompetencat e autoriteteve qendrore, Ministrit t</w:t>
      </w:r>
      <w:r w:rsidR="00F11591" w:rsidRPr="00503A01">
        <w:rPr>
          <w:rFonts w:ascii="Times New Roman" w:hAnsi="Times New Roman" w:cs="Times New Roman"/>
          <w:b/>
          <w:bCs/>
          <w:sz w:val="24"/>
          <w:szCs w:val="24"/>
          <w:lang w:val="de-AT"/>
        </w:rPr>
        <w:t>ë</w:t>
      </w:r>
      <w:r w:rsidRPr="00503A01">
        <w:rPr>
          <w:rFonts w:ascii="Times New Roman" w:hAnsi="Times New Roman" w:cs="Times New Roman"/>
          <w:b/>
          <w:bCs/>
          <w:sz w:val="24"/>
          <w:szCs w:val="24"/>
          <w:lang w:val="de-AT"/>
        </w:rPr>
        <w:t xml:space="preserve"> Brendshem dhe Kryeministrit, dhe vendimmarrja për shpërblimin e efektivëve</w:t>
      </w:r>
    </w:p>
    <w:p w14:paraId="4999649C" w14:textId="77777777" w:rsidR="00713931" w:rsidRPr="00503A01" w:rsidRDefault="00713931" w:rsidP="00713931">
      <w:pPr>
        <w:pStyle w:val="ListParagraph"/>
        <w:spacing w:after="0" w:line="240" w:lineRule="auto"/>
        <w:jc w:val="both"/>
        <w:rPr>
          <w:rFonts w:ascii="Times New Roman" w:hAnsi="Times New Roman" w:cs="Times New Roman"/>
          <w:b/>
          <w:bCs/>
          <w:sz w:val="24"/>
          <w:szCs w:val="24"/>
          <w:lang w:val="de-AT"/>
        </w:rPr>
      </w:pPr>
    </w:p>
    <w:p w14:paraId="34547E15" w14:textId="44512E04" w:rsidR="00F26D2F" w:rsidRPr="00503A01" w:rsidRDefault="00F26D2F" w:rsidP="00F26D2F">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Neni 46, pikat 5-7, i ligjit nr. 82/2024 përcakton nivele të dallueshme përgjegjësie për organizimin e Policisë së Shtetit: Kryeministri miraton strukturën e përgjithshme, ministri organizimin e brendshëm dhe shpërndarjen e personelit, me propozimin e Drejtorit të Përgjithshëm, ndërsa ky i fundit miraton organizimin dhe kompetencat e strukturave përkatëse. Sipas nenit 54, ministri përcakton politikat dhe ushtron kontroll administrativ</w:t>
      </w:r>
      <w:r w:rsidR="008D3400" w:rsidRPr="00503A01">
        <w:rPr>
          <w:rFonts w:ascii="Times New Roman" w:hAnsi="Times New Roman" w:cs="Times New Roman"/>
          <w:sz w:val="24"/>
          <w:szCs w:val="24"/>
          <w:lang w:val="de-AT"/>
        </w:rPr>
        <w:t xml:space="preserve"> </w:t>
      </w:r>
      <w:r w:rsidRPr="00503A01">
        <w:rPr>
          <w:rFonts w:ascii="Times New Roman" w:hAnsi="Times New Roman" w:cs="Times New Roman"/>
          <w:sz w:val="24"/>
          <w:szCs w:val="24"/>
          <w:lang w:val="de-AT"/>
        </w:rPr>
        <w:t>të Policisë.</w:t>
      </w:r>
    </w:p>
    <w:p w14:paraId="2D0FE56E" w14:textId="77777777" w:rsidR="00F26D2F" w:rsidRPr="00503A01" w:rsidRDefault="00F26D2F" w:rsidP="00F26D2F">
      <w:pPr>
        <w:spacing w:after="0" w:line="240" w:lineRule="auto"/>
        <w:jc w:val="both"/>
        <w:rPr>
          <w:rFonts w:ascii="Times New Roman" w:hAnsi="Times New Roman" w:cs="Times New Roman"/>
          <w:sz w:val="24"/>
          <w:szCs w:val="24"/>
          <w:lang w:val="de-AT"/>
        </w:rPr>
      </w:pPr>
    </w:p>
    <w:p w14:paraId="2875BD74" w14:textId="50EB68FF" w:rsidR="00F26D2F" w:rsidRPr="00503A01" w:rsidRDefault="00F26D2F" w:rsidP="00F26D2F">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 xml:space="preserve">Për këtë arsye, duhet të administrohen aktet organizative dhe të hetohet nëse Ministri Ervin Demo ka ushtruar detyrimet e tij të kontrollit pas marrjes së dijenisë për shkeljet e denoncuara, si dhe nëse Kryeministri Edi Rama ka pasur ndonjë kontribut konkret, përtej kompetencave të tij ligjore dhe deklarimeve politike, në mekanizmin e dyshuar. </w:t>
      </w:r>
      <w:r w:rsidRPr="00503A01">
        <w:rPr>
          <w:rFonts w:ascii="Times New Roman" w:hAnsi="Times New Roman" w:cs="Times New Roman"/>
          <w:b/>
          <w:bCs/>
          <w:i/>
          <w:sz w:val="24"/>
          <w:szCs w:val="24"/>
          <w:lang w:val="de-AT"/>
        </w:rPr>
        <w:t>Përgjegjësia eventuale e secilit duhet të mbështetet në kompetencat konkrete, dijeninë, veprimet ose mosveprimet dhe vendimmarrjen e provuar</w:t>
      </w:r>
      <w:r w:rsidR="008D3400" w:rsidRPr="00503A01">
        <w:rPr>
          <w:rFonts w:ascii="Times New Roman" w:hAnsi="Times New Roman" w:cs="Times New Roman"/>
          <w:sz w:val="24"/>
          <w:szCs w:val="24"/>
          <w:lang w:val="de-AT"/>
        </w:rPr>
        <w:t>.</w:t>
      </w:r>
    </w:p>
    <w:p w14:paraId="48229677" w14:textId="77777777" w:rsidR="00F26D2F" w:rsidRPr="00503A01" w:rsidRDefault="00F26D2F" w:rsidP="00F26D2F">
      <w:pPr>
        <w:spacing w:after="0" w:line="240" w:lineRule="auto"/>
        <w:jc w:val="both"/>
        <w:rPr>
          <w:rFonts w:ascii="Times New Roman" w:hAnsi="Times New Roman" w:cs="Times New Roman"/>
          <w:sz w:val="24"/>
          <w:szCs w:val="24"/>
          <w:lang w:val="de-AT"/>
        </w:rPr>
      </w:pPr>
    </w:p>
    <w:p w14:paraId="47F1CC1A" w14:textId="5AC5B494" w:rsidR="00F26D2F" w:rsidRPr="00503A01" w:rsidRDefault="00F26D2F" w:rsidP="00F26D2F">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Rëndësi provuese paraqet edhe vendimi i Këshillit të Ministrave i datës 19.10.2026, i miratuar me propozimin e Ministrit të Punëve të Brendshme, për shpërblimin me 269.120 lekë të 2.750 punonjësve të policisë. Vendimi ngarkon Drejtorinë e Përgjithshme të përcaktojë listat emërore mbi bazën e dokumentacionit justifikues.</w:t>
      </w:r>
      <w:r w:rsidR="00065CC1" w:rsidRPr="00503A01">
        <w:rPr>
          <w:rStyle w:val="FootnoteReference"/>
          <w:rFonts w:ascii="Times New Roman" w:hAnsi="Times New Roman" w:cs="Times New Roman"/>
          <w:sz w:val="24"/>
          <w:szCs w:val="24"/>
          <w:lang w:val="de-AT"/>
        </w:rPr>
        <w:footnoteReference w:id="17"/>
      </w:r>
      <w:r w:rsidRPr="00503A01">
        <w:rPr>
          <w:rFonts w:ascii="Times New Roman" w:hAnsi="Times New Roman" w:cs="Times New Roman"/>
          <w:sz w:val="24"/>
          <w:szCs w:val="24"/>
          <w:lang w:val="de-AT"/>
        </w:rPr>
        <w:t xml:space="preserve"> </w:t>
      </w:r>
      <w:r w:rsidRPr="00503A01">
        <w:rPr>
          <w:rFonts w:ascii="Times New Roman" w:hAnsi="Times New Roman" w:cs="Times New Roman"/>
          <w:b/>
          <w:bCs/>
          <w:i/>
          <w:sz w:val="24"/>
          <w:szCs w:val="24"/>
          <w:lang w:val="de-AT"/>
        </w:rPr>
        <w:t>Administrimi i këtyre listave dhe dokumenteve mund të ndihmojë në identifikimin e efektivëve, njësive, datave dhe kohëzgjatjes së angazhimit</w:t>
      </w:r>
      <w:r w:rsidRPr="00503A01">
        <w:rPr>
          <w:rFonts w:ascii="Times New Roman" w:hAnsi="Times New Roman" w:cs="Times New Roman"/>
          <w:sz w:val="24"/>
          <w:szCs w:val="24"/>
          <w:lang w:val="de-AT"/>
        </w:rPr>
        <w:t>, si dhe në rindërtimin e zinxhirit të komandimit gjatë operacioneve objekt kallëzimi.</w:t>
      </w:r>
    </w:p>
    <w:p w14:paraId="28E0877A" w14:textId="77777777" w:rsidR="00485AF1" w:rsidRPr="00503A01" w:rsidRDefault="00485AF1" w:rsidP="0092219E">
      <w:pPr>
        <w:spacing w:after="0" w:line="240" w:lineRule="auto"/>
        <w:jc w:val="both"/>
        <w:rPr>
          <w:rFonts w:ascii="Times New Roman" w:hAnsi="Times New Roman" w:cs="Times New Roman"/>
          <w:sz w:val="24"/>
          <w:szCs w:val="24"/>
          <w:lang w:val="de-AT"/>
        </w:rPr>
      </w:pPr>
    </w:p>
    <w:p w14:paraId="5CB7CC2B" w14:textId="7FC95010" w:rsidR="002320B4" w:rsidRPr="00503A01" w:rsidRDefault="002320B4" w:rsidP="0092219E">
      <w:pPr>
        <w:spacing w:after="0" w:line="240" w:lineRule="auto"/>
        <w:jc w:val="both"/>
        <w:rPr>
          <w:rFonts w:ascii="Times New Roman" w:hAnsi="Times New Roman" w:cs="Times New Roman"/>
          <w:sz w:val="24"/>
          <w:szCs w:val="24"/>
          <w:lang w:val="de-AT"/>
        </w:rPr>
      </w:pPr>
    </w:p>
    <w:p w14:paraId="2D1E64DD" w14:textId="7B67C4D3" w:rsidR="0092219E" w:rsidRPr="00503A01" w:rsidRDefault="00AE1A7B" w:rsidP="00FE0A0F">
      <w:pPr>
        <w:pStyle w:val="ListParagraph"/>
        <w:numPr>
          <w:ilvl w:val="0"/>
          <w:numId w:val="9"/>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lastRenderedPageBreak/>
        <w:t>H</w:t>
      </w:r>
      <w:r w:rsidR="0092219E" w:rsidRPr="00503A01">
        <w:rPr>
          <w:rFonts w:ascii="Times New Roman" w:hAnsi="Times New Roman" w:cs="Times New Roman"/>
          <w:b/>
          <w:bCs/>
          <w:sz w:val="24"/>
          <w:szCs w:val="24"/>
          <w:lang w:val="de-AT"/>
        </w:rPr>
        <w:t>ipoteza e bashkëpunimit të organizuar kriminal</w:t>
      </w:r>
    </w:p>
    <w:p w14:paraId="3A4F009E" w14:textId="77777777" w:rsidR="000B7559" w:rsidRPr="00503A01" w:rsidRDefault="000B7559" w:rsidP="000B7559">
      <w:pPr>
        <w:pStyle w:val="ListParagraph"/>
        <w:spacing w:after="0" w:line="240" w:lineRule="auto"/>
        <w:jc w:val="both"/>
        <w:rPr>
          <w:rFonts w:ascii="Times New Roman" w:hAnsi="Times New Roman" w:cs="Times New Roman"/>
          <w:b/>
          <w:bCs/>
          <w:sz w:val="24"/>
          <w:szCs w:val="24"/>
          <w:lang w:val="de-AT"/>
        </w:rPr>
      </w:pPr>
    </w:p>
    <w:p w14:paraId="4193AF5B" w14:textId="5EAC1B9B" w:rsidR="0092219E" w:rsidRPr="00503A01" w:rsidRDefault="0092219E" w:rsidP="0092219E">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Nëse nga hetimi rezulton se drejtues të ndryshëm kanë vepruar në mënyrë të koordinuar për dislokimin e efektivëve të paidentifikueshëm dhe pengimin e dokumentimit të veprimeve të tyre, kjo mund të ketë rëndësi për shqyrtimin e elementeve të bashkëpunimit penal.</w:t>
      </w:r>
      <w:r w:rsidR="00CA23EA" w:rsidRPr="00503A01">
        <w:rPr>
          <w:rFonts w:ascii="Times New Roman" w:hAnsi="Times New Roman" w:cs="Times New Roman"/>
          <w:sz w:val="24"/>
          <w:szCs w:val="24"/>
          <w:lang w:val="de-AT"/>
        </w:rPr>
        <w:t xml:space="preserve"> </w:t>
      </w:r>
      <w:r w:rsidRPr="00503A01">
        <w:rPr>
          <w:rFonts w:ascii="Times New Roman" w:hAnsi="Times New Roman" w:cs="Times New Roman"/>
          <w:sz w:val="24"/>
          <w:szCs w:val="24"/>
          <w:lang w:val="de-AT"/>
        </w:rPr>
        <w:t>Në këtë rast duhet të përcaktohet nëse ekziston një qëllim kriminal i përbashkët, nëse pjesëmarrësit kanë vepruar me vetëdije për realizimin e tij dhe nëse është synuar përfitimi jomaterial i pandëshkueshmërisë së autorëve të dhunës.</w:t>
      </w:r>
    </w:p>
    <w:p w14:paraId="5DEDC6B0" w14:textId="77777777" w:rsidR="00CA23EA" w:rsidRPr="00503A01" w:rsidRDefault="00CA23EA" w:rsidP="0092219E">
      <w:pPr>
        <w:spacing w:after="0" w:line="240" w:lineRule="auto"/>
        <w:jc w:val="both"/>
        <w:rPr>
          <w:rFonts w:ascii="Times New Roman" w:hAnsi="Times New Roman" w:cs="Times New Roman"/>
          <w:sz w:val="24"/>
          <w:szCs w:val="24"/>
          <w:lang w:val="de-AT"/>
        </w:rPr>
      </w:pPr>
    </w:p>
    <w:p w14:paraId="039858E9" w14:textId="19D53F49" w:rsidR="00976139" w:rsidRPr="00503A01" w:rsidRDefault="0092219E" w:rsidP="0092219E">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Për kualifikimin sipas neneve 28/4 dhe 333/a të Kodit Penal nevojiten prova që tregojnë se të paktën tre persona kanë bashkëpunuar jo rastësisht për kryerjen e një ose më shumë veprave penale dhe për realizimin e përfitimit të kërkuar nga dispozita.</w:t>
      </w:r>
      <w:r w:rsidR="00CA23EA" w:rsidRPr="00503A01">
        <w:rPr>
          <w:rFonts w:ascii="Times New Roman" w:hAnsi="Times New Roman" w:cs="Times New Roman"/>
          <w:sz w:val="24"/>
          <w:szCs w:val="24"/>
          <w:lang w:val="de-AT"/>
        </w:rPr>
        <w:t xml:space="preserve"> </w:t>
      </w:r>
      <w:r w:rsidRPr="00503A01">
        <w:rPr>
          <w:rFonts w:ascii="Times New Roman" w:hAnsi="Times New Roman" w:cs="Times New Roman"/>
          <w:sz w:val="24"/>
          <w:szCs w:val="24"/>
          <w:lang w:val="de-AT"/>
        </w:rPr>
        <w:t>Në këtë kuadër, shtrirja në disa qytete dhe përdorimi i strukturave të ndryshme mund të jetë relevante për të përcaktuar karakterin e organizuar të veprimtarisë, por nuk e zëvendëson provimin e qëllimit kriminal të përbashkët.</w:t>
      </w:r>
    </w:p>
    <w:p w14:paraId="7DF45120" w14:textId="77777777" w:rsidR="00976139" w:rsidRPr="00503A01" w:rsidRDefault="00976139" w:rsidP="0092219E">
      <w:pPr>
        <w:spacing w:after="0" w:line="240" w:lineRule="auto"/>
        <w:jc w:val="both"/>
        <w:rPr>
          <w:rFonts w:ascii="Times New Roman" w:hAnsi="Times New Roman" w:cs="Times New Roman"/>
          <w:b/>
          <w:bCs/>
          <w:sz w:val="24"/>
          <w:szCs w:val="24"/>
          <w:lang w:val="de-AT"/>
        </w:rPr>
      </w:pPr>
    </w:p>
    <w:p w14:paraId="5C7679F5" w14:textId="77777777" w:rsidR="002320B4" w:rsidRPr="00503A01" w:rsidRDefault="002320B4" w:rsidP="0092219E">
      <w:pPr>
        <w:spacing w:after="0" w:line="240" w:lineRule="auto"/>
        <w:jc w:val="both"/>
        <w:rPr>
          <w:rFonts w:ascii="Times New Roman" w:hAnsi="Times New Roman" w:cs="Times New Roman"/>
          <w:b/>
          <w:bCs/>
          <w:sz w:val="24"/>
          <w:szCs w:val="24"/>
          <w:lang w:val="de-AT"/>
        </w:rPr>
      </w:pPr>
    </w:p>
    <w:p w14:paraId="18965CD7" w14:textId="0ADACA77" w:rsidR="009E6651" w:rsidRPr="00503A01" w:rsidRDefault="009E6651" w:rsidP="005E6255">
      <w:pPr>
        <w:pStyle w:val="ListParagraph"/>
        <w:numPr>
          <w:ilvl w:val="0"/>
          <w:numId w:val="3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DIJENIA E DREJTUESVE, NJOFTIMET INSTITUCIONALE DHE REAGIMI PAS KONSTATIMIT TË SHKELJEVE</w:t>
      </w:r>
    </w:p>
    <w:p w14:paraId="39133C0A" w14:textId="77777777" w:rsidR="00485AF1" w:rsidRPr="00503A01" w:rsidRDefault="00485AF1" w:rsidP="008E63BB">
      <w:pPr>
        <w:pStyle w:val="ListParagraph"/>
        <w:spacing w:after="0" w:line="240" w:lineRule="auto"/>
        <w:ind w:left="1080"/>
        <w:jc w:val="both"/>
        <w:rPr>
          <w:rFonts w:ascii="Times New Roman" w:hAnsi="Times New Roman" w:cs="Times New Roman"/>
          <w:b/>
          <w:bCs/>
          <w:sz w:val="24"/>
          <w:szCs w:val="24"/>
        </w:rPr>
      </w:pPr>
    </w:p>
    <w:p w14:paraId="5B74575B" w14:textId="434F2E46" w:rsidR="009E6651" w:rsidRPr="00503A01" w:rsidRDefault="009E6651" w:rsidP="00FE0A0F">
      <w:pPr>
        <w:pStyle w:val="ListParagraph"/>
        <w:numPr>
          <w:ilvl w:val="0"/>
          <w:numId w:val="1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Rëndësia e dijenisë për përcaktimin e përgjegjësisë së drejtuesve</w:t>
      </w:r>
    </w:p>
    <w:p w14:paraId="41B7CD63" w14:textId="77777777" w:rsidR="008E63BB" w:rsidRPr="00503A01" w:rsidRDefault="008E63BB" w:rsidP="008E63BB">
      <w:pPr>
        <w:pStyle w:val="ListParagraph"/>
        <w:spacing w:after="0" w:line="240" w:lineRule="auto"/>
        <w:jc w:val="both"/>
        <w:rPr>
          <w:rFonts w:ascii="Times New Roman" w:hAnsi="Times New Roman" w:cs="Times New Roman"/>
          <w:b/>
          <w:bCs/>
          <w:sz w:val="24"/>
          <w:szCs w:val="24"/>
        </w:rPr>
      </w:pPr>
    </w:p>
    <w:p w14:paraId="0D002C2A" w14:textId="77777777" w:rsidR="009F5D85" w:rsidRPr="00503A01" w:rsidRDefault="009F5D85" w:rsidP="009F5D85">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Për përcaktimin e përgjegjësisë së mundshme penale të drejtuesve duhet të hetohet nëse kanë pasur dijeni për praktikat e kundërligjshme, kompetencën dhe mundësinë reale për t'i ndërprerë, çfarë masash kanë marrë dhe nëse kanë lejuar me vetëdije vazhdimin e tyre.</w:t>
      </w:r>
    </w:p>
    <w:p w14:paraId="76FF3CBA" w14:textId="77777777" w:rsidR="009F5D85" w:rsidRPr="00503A01" w:rsidRDefault="009F5D85" w:rsidP="009F5D85">
      <w:pPr>
        <w:spacing w:after="0" w:line="240" w:lineRule="auto"/>
        <w:jc w:val="both"/>
        <w:rPr>
          <w:rFonts w:ascii="Times New Roman" w:hAnsi="Times New Roman" w:cs="Times New Roman"/>
          <w:sz w:val="24"/>
          <w:szCs w:val="24"/>
        </w:rPr>
      </w:pPr>
    </w:p>
    <w:p w14:paraId="5AAB0FF0" w14:textId="28D2FF14" w:rsidR="009F5D85" w:rsidRPr="00503A01" w:rsidRDefault="009F5D85" w:rsidP="009F5D85">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Gjatë periudhës 13-21.10.2026, mediat kanë publikuar vazhdimisht pamje dhe denoncime për dhunën policore, mungesën e identifikuesve dhe pengimin e gazetarëve, ndërsa Avokati i Popullit, organizatat e shoqërisë civile dhe avokatët kanë ngritur shqetësime publike dhe institucionale. </w:t>
      </w:r>
      <w:r w:rsidRPr="00503A01">
        <w:rPr>
          <w:rFonts w:ascii="Times New Roman" w:hAnsi="Times New Roman" w:cs="Times New Roman"/>
          <w:b/>
          <w:bCs/>
          <w:i/>
          <w:sz w:val="24"/>
          <w:szCs w:val="24"/>
        </w:rPr>
        <w:t>Këto rrethana përbëjnë bazë për hetimin e dijenisë institucionale dhe personale të drejtuesve</w:t>
      </w:r>
      <w:r w:rsidRPr="00503A01">
        <w:rPr>
          <w:rFonts w:ascii="Times New Roman" w:hAnsi="Times New Roman" w:cs="Times New Roman"/>
          <w:sz w:val="24"/>
          <w:szCs w:val="24"/>
        </w:rPr>
        <w:t>, duke përcaktuar kohën e marrjes së informacionit, masat e ndërmarra dhe rëndësinë e mosveprimeve eventuale për vlerësimin e dashjes.</w:t>
      </w:r>
    </w:p>
    <w:p w14:paraId="69CCC5F4" w14:textId="77777777" w:rsidR="00485AF1" w:rsidRPr="00503A01" w:rsidRDefault="00485AF1" w:rsidP="009E6651">
      <w:pPr>
        <w:spacing w:after="0" w:line="240" w:lineRule="auto"/>
        <w:jc w:val="both"/>
        <w:rPr>
          <w:rFonts w:ascii="Times New Roman" w:hAnsi="Times New Roman" w:cs="Times New Roman"/>
          <w:b/>
          <w:bCs/>
          <w:sz w:val="24"/>
          <w:szCs w:val="24"/>
        </w:rPr>
      </w:pPr>
    </w:p>
    <w:p w14:paraId="552DD7CD" w14:textId="21C29802" w:rsidR="009E6651" w:rsidRPr="00503A01" w:rsidRDefault="009148CC" w:rsidP="00FE0A0F">
      <w:pPr>
        <w:pStyle w:val="ListParagraph"/>
        <w:numPr>
          <w:ilvl w:val="0"/>
          <w:numId w:val="1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Njoftimet institucionale, dijenia e drejtuesve dhe reagimi ndaj shkeljeve të denoncuara</w:t>
      </w:r>
    </w:p>
    <w:p w14:paraId="414DECEC" w14:textId="77777777" w:rsidR="00E80126" w:rsidRPr="00503A01" w:rsidRDefault="00E80126" w:rsidP="00E80126">
      <w:pPr>
        <w:pStyle w:val="ListParagraph"/>
        <w:spacing w:after="0" w:line="240" w:lineRule="auto"/>
        <w:jc w:val="both"/>
        <w:rPr>
          <w:rFonts w:ascii="Times New Roman" w:hAnsi="Times New Roman" w:cs="Times New Roman"/>
          <w:b/>
          <w:bCs/>
          <w:sz w:val="24"/>
          <w:szCs w:val="24"/>
        </w:rPr>
      </w:pPr>
    </w:p>
    <w:p w14:paraId="4986D63F" w14:textId="0FCBC52D"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Që më 13.10.2026, Avokati i Popullit njoftoi nisjen</w:t>
      </w:r>
      <w:r w:rsidR="00187BC7" w:rsidRPr="00503A01">
        <w:rPr>
          <w:rFonts w:ascii="Times New Roman" w:hAnsi="Times New Roman" w:cs="Times New Roman"/>
          <w:sz w:val="24"/>
          <w:szCs w:val="24"/>
        </w:rPr>
        <w:t xml:space="preserve"> e </w:t>
      </w:r>
      <w:r w:rsidRPr="00503A01">
        <w:rPr>
          <w:rFonts w:ascii="Times New Roman" w:hAnsi="Times New Roman" w:cs="Times New Roman"/>
          <w:sz w:val="24"/>
          <w:szCs w:val="24"/>
        </w:rPr>
        <w:t xml:space="preserve">hetimit administrativ mbi përdorimin e forcës gjatë protestave, si dhe monitorimin e komisariateve dhe Bllokut të Sigurisë. Më 16.10.2026, institucioni publikoi gjetjet paraprake pas kontaktimit të 214 personave të privuar nga liria, duke evidentuar pretendime për dhunë, shkelje të garancive të të miturve, mangësi në kujdesin mjekësor dhe </w:t>
      </w:r>
      <w:r w:rsidRPr="00503A01">
        <w:rPr>
          <w:rFonts w:ascii="Times New Roman" w:hAnsi="Times New Roman" w:cs="Times New Roman"/>
          <w:bCs/>
          <w:sz w:val="24"/>
          <w:szCs w:val="24"/>
        </w:rPr>
        <w:t>punonjës policie me veshje civile pa shenja identifikuese</w:t>
      </w:r>
      <w:r w:rsidRPr="00503A01">
        <w:rPr>
          <w:rFonts w:ascii="Times New Roman" w:hAnsi="Times New Roman" w:cs="Times New Roman"/>
          <w:sz w:val="24"/>
          <w:szCs w:val="24"/>
        </w:rPr>
        <w:t>, për të cilët kërkoi marrjen e masave konkrete.</w:t>
      </w:r>
      <w:r w:rsidR="00A84A46" w:rsidRPr="00503A01">
        <w:rPr>
          <w:rStyle w:val="FootnoteReference"/>
          <w:rFonts w:ascii="Times New Roman" w:hAnsi="Times New Roman" w:cs="Times New Roman"/>
          <w:sz w:val="24"/>
          <w:szCs w:val="24"/>
        </w:rPr>
        <w:footnoteReference w:id="18"/>
      </w:r>
      <w:r w:rsidRPr="00503A01">
        <w:rPr>
          <w:rFonts w:ascii="Times New Roman" w:hAnsi="Times New Roman" w:cs="Times New Roman"/>
          <w:sz w:val="24"/>
          <w:szCs w:val="24"/>
        </w:rPr>
        <w:t xml:space="preserve"> Kështu, problematika e identifikimit të efektivëve ishte bërë objekt i një njoftimi publik institucional që në ditët e para të protestave.</w:t>
      </w:r>
    </w:p>
    <w:p w14:paraId="39445988" w14:textId="77777777" w:rsidR="002425EA" w:rsidRPr="00503A01" w:rsidRDefault="002425EA" w:rsidP="002425EA">
      <w:pPr>
        <w:spacing w:after="0" w:line="240" w:lineRule="auto"/>
        <w:jc w:val="both"/>
        <w:rPr>
          <w:rFonts w:ascii="Times New Roman" w:hAnsi="Times New Roman" w:cs="Times New Roman"/>
          <w:sz w:val="24"/>
          <w:szCs w:val="24"/>
        </w:rPr>
      </w:pPr>
    </w:p>
    <w:p w14:paraId="54D61AEF" w14:textId="3182ED61"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Po më 16.10.2026, Ministri i Punëve të Brendshme, Ervin Demo, pranoi publikisht se ishte njohur nëpërmjet pamjeve filmike me dy raste të tejkalimit të kompetencave policore dhe kishte kërkuar marrjen e masave, duke përshëndetur pezullimin e dy efektivëve. Në konferencën e </w:t>
      </w:r>
      <w:r w:rsidRPr="00503A01">
        <w:rPr>
          <w:rFonts w:ascii="Times New Roman" w:hAnsi="Times New Roman" w:cs="Times New Roman"/>
          <w:sz w:val="24"/>
          <w:szCs w:val="24"/>
        </w:rPr>
        <w:lastRenderedPageBreak/>
        <w:t>datës 17.10.2026, Drejtori i Përgjithshëm Skënder Hita njoftoi pezullimin e shtatë punonjësve për tejkalim detyre dhe mosrespektim të proporcionalitetit, ndërsa mohoi dhënien e urdhrave në kundërshtim me procedurat standarde.</w:t>
      </w:r>
      <w:r w:rsidR="00A84A46" w:rsidRPr="00503A01">
        <w:rPr>
          <w:rStyle w:val="FootnoteReference"/>
          <w:rFonts w:ascii="Times New Roman" w:hAnsi="Times New Roman" w:cs="Times New Roman"/>
          <w:sz w:val="24"/>
          <w:szCs w:val="24"/>
        </w:rPr>
        <w:footnoteReference w:id="19"/>
      </w:r>
      <w:r w:rsidRPr="00503A01">
        <w:rPr>
          <w:rFonts w:ascii="Times New Roman" w:hAnsi="Times New Roman" w:cs="Times New Roman"/>
          <w:sz w:val="24"/>
          <w:szCs w:val="24"/>
        </w:rPr>
        <w:t xml:space="preserve"> Këto deklarime konfirmojnë dijeninë dhe reagimin institucional ndaj disa episodeve, por kërkojnë verifikimin nëse masat janë shtrirë edhe te shkaqet organizative, përgjegjësia e zinxhirit komandues dhe referimi i veprave të dyshuara penale pranë organeve kompetente, në përputhje me nenet 281 dhe 293 të K</w:t>
      </w:r>
      <w:r w:rsidR="00DB59C4" w:rsidRPr="00503A01">
        <w:rPr>
          <w:rFonts w:ascii="Times New Roman" w:hAnsi="Times New Roman" w:cs="Times New Roman"/>
          <w:sz w:val="24"/>
          <w:szCs w:val="24"/>
        </w:rPr>
        <w:t>PP.</w:t>
      </w:r>
    </w:p>
    <w:p w14:paraId="414A5926" w14:textId="77777777" w:rsidR="009C2C9D" w:rsidRPr="00503A01" w:rsidRDefault="009C2C9D" w:rsidP="002425EA">
      <w:pPr>
        <w:spacing w:after="0" w:line="240" w:lineRule="auto"/>
        <w:jc w:val="both"/>
        <w:rPr>
          <w:rFonts w:ascii="Times New Roman" w:hAnsi="Times New Roman" w:cs="Times New Roman"/>
          <w:sz w:val="24"/>
          <w:szCs w:val="24"/>
        </w:rPr>
      </w:pPr>
    </w:p>
    <w:p w14:paraId="34D419D1" w14:textId="2ED2ABF7"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Më 17.10.2026, Qendra Res Publica, së bashku me avokatë, organizata dhe aktivistë të tjerë, publikoi dhe u dërgoi autoriteteve një letër të hapur me </w:t>
      </w:r>
      <w:proofErr w:type="gramStart"/>
      <w:r w:rsidRPr="00503A01">
        <w:rPr>
          <w:rFonts w:ascii="Times New Roman" w:hAnsi="Times New Roman" w:cs="Times New Roman"/>
          <w:bCs/>
          <w:sz w:val="24"/>
          <w:szCs w:val="24"/>
        </w:rPr>
        <w:t>31</w:t>
      </w:r>
      <w:r w:rsidR="00351285" w:rsidRPr="00503A01">
        <w:rPr>
          <w:rFonts w:ascii="Times New Roman" w:hAnsi="Times New Roman" w:cs="Times New Roman"/>
          <w:bCs/>
          <w:sz w:val="24"/>
          <w:szCs w:val="24"/>
        </w:rPr>
        <w:t xml:space="preserve"> </w:t>
      </w:r>
      <w:r w:rsidRPr="00503A01">
        <w:rPr>
          <w:rFonts w:ascii="Times New Roman" w:hAnsi="Times New Roman" w:cs="Times New Roman"/>
          <w:bCs/>
          <w:sz w:val="24"/>
          <w:szCs w:val="24"/>
        </w:rPr>
        <w:t>episode</w:t>
      </w:r>
      <w:proofErr w:type="gramEnd"/>
      <w:r w:rsidRPr="00503A01">
        <w:rPr>
          <w:rFonts w:ascii="Times New Roman" w:hAnsi="Times New Roman" w:cs="Times New Roman"/>
          <w:bCs/>
          <w:sz w:val="24"/>
          <w:szCs w:val="24"/>
        </w:rPr>
        <w:t xml:space="preserve"> të dyshuara të dhunës policore dhe 19 kërkesa konkrete për informacion</w:t>
      </w:r>
      <w:r w:rsidRPr="00503A01">
        <w:rPr>
          <w:rFonts w:ascii="Times New Roman" w:hAnsi="Times New Roman" w:cs="Times New Roman"/>
          <w:sz w:val="24"/>
          <w:szCs w:val="24"/>
        </w:rPr>
        <w:t>, duke kërkuar identifikimin e efektivëve, hetimin e përgjegjësisë së drejtuesve dhe parandalimin e përsëritjes së shkeljeve. Dokumenti iu drejtua, ndër të tjera, Drejtorisë së Përgjithshme të Policisë, Drejtorisë Vendore Tiranë, Ministrisë së Punëve të Brendshme dhe Kryeministrisë. Për këtë arsye, duhet të administrohen konfirmimet e dërgimit dhe marrjes së shkresës, si dhe dokumentacioni i trajtimit të saj nga secili institucion. Në veçanti, për Drejtorin e Policisë së Tiranës, Oliger Torba, duhet të verifikohen masat e marra për identifikimin, kontrollin dhe dokumentimin e veprimeve të strukturave vendore, si dhe ndarja e përgjegjësive me njësitë qendrore të dislokuara në territor.</w:t>
      </w:r>
    </w:p>
    <w:p w14:paraId="47EF3C58" w14:textId="65B87F2B"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Pavarësisht këtyre njoftimeve, gjatë datave 18</w:t>
      </w:r>
      <w:r w:rsidR="009C2C9D" w:rsidRPr="00503A01">
        <w:rPr>
          <w:rFonts w:ascii="Times New Roman" w:hAnsi="Times New Roman" w:cs="Times New Roman"/>
          <w:sz w:val="24"/>
          <w:szCs w:val="24"/>
        </w:rPr>
        <w:t>-</w:t>
      </w:r>
      <w:r w:rsidRPr="00503A01">
        <w:rPr>
          <w:rFonts w:ascii="Times New Roman" w:hAnsi="Times New Roman" w:cs="Times New Roman"/>
          <w:sz w:val="24"/>
          <w:szCs w:val="24"/>
        </w:rPr>
        <w:t>20.10.2026 vijuan denoncimet. Më 19.10.2026, Asociacioni i Gazetarëve të Shqipërisë raportoi pesë incidente të reja, duke e çuar në 32 numrin e incidenteve ndaj medias, ndërsa ECPMF denoncoi pengimin e gazetarëve nga persona të maskuar e të paidentifikuar në prani të Skënder Hitës. Ky episod kërkon verifikim të posaçëm për dijeninë e tij të drejtpërdrejtë dhe mundësinë e ndërhyrjes. Më 20.10.2026, Avokati i Popullit raportoi përsëri mungesë identifikuesish, këtë herë edhe brenda komisariateve nr. 2 dhe nr. 4 në Tiranë, si dhe mangësi në regjistrat e shoqërimit. Më 21.10.2026, pas monitorimeve të tjera, institucioni përsëriti kërkesat për identifikimin e efektivëve, ruajtjen e regjistrimeve filmike dhe administrimin e dokumentacionit operacional.</w:t>
      </w:r>
      <w:r w:rsidR="00BC2FBF" w:rsidRPr="00503A01">
        <w:rPr>
          <w:rStyle w:val="FootnoteReference"/>
          <w:rFonts w:ascii="Times New Roman" w:hAnsi="Times New Roman" w:cs="Times New Roman"/>
          <w:sz w:val="24"/>
          <w:szCs w:val="24"/>
        </w:rPr>
        <w:footnoteReference w:id="20"/>
      </w:r>
      <w:r w:rsidRPr="00503A01">
        <w:rPr>
          <w:rFonts w:ascii="Times New Roman" w:hAnsi="Times New Roman" w:cs="Times New Roman"/>
          <w:sz w:val="24"/>
          <w:szCs w:val="24"/>
        </w:rPr>
        <w:t xml:space="preserve"> </w:t>
      </w:r>
      <w:r w:rsidRPr="00503A01">
        <w:rPr>
          <w:rFonts w:ascii="Times New Roman" w:hAnsi="Times New Roman" w:cs="Times New Roman"/>
          <w:bCs/>
          <w:sz w:val="24"/>
          <w:szCs w:val="24"/>
        </w:rPr>
        <w:t>Kjo vijimësi kërkon të përcaktohet nëse drejtuesit kanë marrë masa vetëm ndaj shkeljeve individuale apo edhe për korrigjimin e praktikave të përsëritura, dhe nëse masat e urdhëruara janë zbatuar realisht.</w:t>
      </w:r>
    </w:p>
    <w:p w14:paraId="3F904C00" w14:textId="77777777" w:rsidR="009C2C9D" w:rsidRPr="00503A01" w:rsidRDefault="009C2C9D" w:rsidP="002425EA">
      <w:pPr>
        <w:spacing w:after="0" w:line="240" w:lineRule="auto"/>
        <w:jc w:val="both"/>
        <w:rPr>
          <w:rFonts w:ascii="Times New Roman" w:hAnsi="Times New Roman" w:cs="Times New Roman"/>
          <w:sz w:val="24"/>
          <w:szCs w:val="24"/>
        </w:rPr>
      </w:pPr>
    </w:p>
    <w:p w14:paraId="3FEAD881" w14:textId="7DDCACD5"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Në lidhje me Kryeministrin Edi Rama, </w:t>
      </w:r>
      <w:r w:rsidR="00DB59C4" w:rsidRPr="00503A01">
        <w:rPr>
          <w:rFonts w:ascii="Times New Roman" w:hAnsi="Times New Roman" w:cs="Times New Roman"/>
          <w:sz w:val="24"/>
          <w:szCs w:val="24"/>
        </w:rPr>
        <w:t>m</w:t>
      </w:r>
      <w:r w:rsidRPr="00503A01">
        <w:rPr>
          <w:rFonts w:ascii="Times New Roman" w:hAnsi="Times New Roman" w:cs="Times New Roman"/>
          <w:sz w:val="24"/>
          <w:szCs w:val="24"/>
        </w:rPr>
        <w:t xml:space="preserve">ë 18.10.2026, ai deklaroi se kishte koordinuar përpjekjet institucionale për administrimin e krizës, ndërsa më 19.10.2026, në takimin me drejtuesit policorë, shprehu mbështetje për policinë dhe bëri deklarata sipas të cilave edhe personat që qëndronin pranë protestuesve të dhunshëm mund të bëheshin objekt i ndërhyrjes policore. Ai kritikoi gjithashtu gjykatat për lirimin e personave në mungesë provash dhe mediat që raportonin për dhunën policore. Këto deklarime kërkojnë shqyrtim në kontekstin e plotë të fjalimit, përfshirë standardet e GJEDNJ mbi prezumimin e pafajësisë në çështjet </w:t>
      </w:r>
      <w:r w:rsidRPr="00503A01">
        <w:rPr>
          <w:rFonts w:ascii="Times New Roman" w:hAnsi="Times New Roman" w:cs="Times New Roman"/>
          <w:i/>
          <w:iCs/>
          <w:sz w:val="24"/>
          <w:szCs w:val="24"/>
        </w:rPr>
        <w:t>Bavčar kundër Sllovenisë</w:t>
      </w:r>
      <w:r w:rsidRPr="00503A01">
        <w:rPr>
          <w:rFonts w:ascii="Times New Roman" w:hAnsi="Times New Roman" w:cs="Times New Roman"/>
          <w:sz w:val="24"/>
          <w:szCs w:val="24"/>
        </w:rPr>
        <w:t xml:space="preserve">, §§ 110–115, dhe </w:t>
      </w:r>
      <w:r w:rsidRPr="00503A01">
        <w:rPr>
          <w:rFonts w:ascii="Times New Roman" w:hAnsi="Times New Roman" w:cs="Times New Roman"/>
          <w:i/>
          <w:iCs/>
          <w:sz w:val="24"/>
          <w:szCs w:val="24"/>
        </w:rPr>
        <w:t>Konstas kundër Greqisë</w:t>
      </w:r>
      <w:r w:rsidRPr="00503A01">
        <w:rPr>
          <w:rFonts w:ascii="Times New Roman" w:hAnsi="Times New Roman" w:cs="Times New Roman"/>
          <w:sz w:val="24"/>
          <w:szCs w:val="24"/>
        </w:rPr>
        <w:t xml:space="preserve">, §§ 40–45. Më 20.10.2026, Kryeministri deklaroi gjithashtu se arrestimet ishin vlerësuar të ligjshme nga gjykatat dhe paralajmëroi masa të mëtejshme ndaj pjesëmarrësve në protesta. </w:t>
      </w:r>
      <w:r w:rsidRPr="00503A01">
        <w:rPr>
          <w:rFonts w:ascii="Times New Roman" w:hAnsi="Times New Roman" w:cs="Times New Roman"/>
          <w:b/>
          <w:bCs/>
          <w:i/>
          <w:sz w:val="24"/>
          <w:szCs w:val="24"/>
        </w:rPr>
        <w:t>Duhet të hetohet nëse këto qëndrime janë shoqëruar me udhëzime ose vendimmarrje konkrete që kanë ndikuar në individualizimin e ndërhyrjeve policore, në trajtimin e pjesëmarrësve paqësorë ose në pengimin e ushtrimit të lirisë së tubimit.</w:t>
      </w:r>
      <w:r w:rsidRPr="00503A01">
        <w:rPr>
          <w:rFonts w:ascii="Times New Roman" w:hAnsi="Times New Roman" w:cs="Times New Roman"/>
          <w:sz w:val="24"/>
          <w:szCs w:val="24"/>
        </w:rPr>
        <w:t xml:space="preserve"> </w:t>
      </w:r>
    </w:p>
    <w:p w14:paraId="2F80B337" w14:textId="494DAB32"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 xml:space="preserve">Rëndësi për dokumentimin e koordinimit institucional ka edhe </w:t>
      </w:r>
      <w:r w:rsidR="00DB59C4" w:rsidRPr="00503A01">
        <w:rPr>
          <w:rFonts w:ascii="Times New Roman" w:hAnsi="Times New Roman" w:cs="Times New Roman"/>
          <w:sz w:val="24"/>
          <w:szCs w:val="24"/>
        </w:rPr>
        <w:t xml:space="preserve">VKM </w:t>
      </w:r>
      <w:r w:rsidRPr="00503A01">
        <w:rPr>
          <w:rFonts w:ascii="Times New Roman" w:hAnsi="Times New Roman" w:cs="Times New Roman"/>
          <w:sz w:val="24"/>
          <w:szCs w:val="24"/>
        </w:rPr>
        <w:t>datë 19.10.2026, për shpërblimin me 269.120 lekë të 2.750 efektivëve të angazhuar në operacionet e rendit publik.</w:t>
      </w:r>
      <w:r w:rsidR="009C2C9D" w:rsidRPr="00503A01">
        <w:rPr>
          <w:rStyle w:val="FootnoteReference"/>
          <w:rFonts w:ascii="Times New Roman" w:hAnsi="Times New Roman" w:cs="Times New Roman"/>
          <w:sz w:val="24"/>
          <w:szCs w:val="24"/>
        </w:rPr>
        <w:footnoteReference w:id="21"/>
      </w:r>
      <w:r w:rsidRPr="00503A01">
        <w:rPr>
          <w:rFonts w:ascii="Times New Roman" w:hAnsi="Times New Roman" w:cs="Times New Roman"/>
          <w:sz w:val="24"/>
          <w:szCs w:val="24"/>
        </w:rPr>
        <w:t xml:space="preserve"> Listat emërore dhe dokumentacioni justifikues i këtij vendimi mund të shërbejnë për identifikimin e personelit të angazhuar, ndërsa dokumentet përgatitore dhe komunikimet institucionale mund të ndihmojnë në përcaktimin e rolit të autoriteteve përkatëse.</w:t>
      </w:r>
    </w:p>
    <w:p w14:paraId="572D29D8" w14:textId="77777777" w:rsidR="00DB59C4" w:rsidRPr="00503A01" w:rsidRDefault="00DB59C4" w:rsidP="002425EA">
      <w:pPr>
        <w:spacing w:after="0" w:line="240" w:lineRule="auto"/>
        <w:jc w:val="both"/>
        <w:rPr>
          <w:rFonts w:ascii="Times New Roman" w:hAnsi="Times New Roman" w:cs="Times New Roman"/>
          <w:sz w:val="24"/>
          <w:szCs w:val="24"/>
        </w:rPr>
      </w:pPr>
    </w:p>
    <w:p w14:paraId="77682376" w14:textId="03F488B5" w:rsidR="002425EA" w:rsidRPr="00503A01" w:rsidRDefault="002425EA" w:rsidP="002425E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Hetimi duhet të individualizojë për secilin drejtues informacionin e marrë, detyrimet konkrete ligjore, mundësinë reale për ndërhyrje, masat e urdhëruara dhe zbatimin e tyre. Në veçanti, duhet të verifikohet nëse vijimi i praktikave të mosidentifikimit të efektivëve dhe pengimit të dokumentimit, pas njoftimeve të përsëritura, ka ardhur nga mangësi organizative, neglizhencë apo nga veprime ose mosveprime të vetëdijshme që synonin ruajtjen e kushteve të pandëshkueshmërisë dhe dekurajimin e pjesëmarrjes në tubime paqësore.</w:t>
      </w:r>
    </w:p>
    <w:p w14:paraId="47A4767F" w14:textId="77777777" w:rsidR="00490174" w:rsidRPr="00503A01" w:rsidRDefault="00490174" w:rsidP="002425EA">
      <w:pPr>
        <w:spacing w:after="0" w:line="240" w:lineRule="auto"/>
        <w:jc w:val="both"/>
        <w:rPr>
          <w:rFonts w:ascii="Times New Roman" w:hAnsi="Times New Roman" w:cs="Times New Roman"/>
          <w:sz w:val="24"/>
          <w:szCs w:val="24"/>
        </w:rPr>
      </w:pPr>
    </w:p>
    <w:p w14:paraId="41A31E84" w14:textId="77777777" w:rsidR="002320B4" w:rsidRPr="00503A01" w:rsidRDefault="002320B4" w:rsidP="002425EA">
      <w:pPr>
        <w:spacing w:after="0" w:line="240" w:lineRule="auto"/>
        <w:jc w:val="both"/>
        <w:rPr>
          <w:rFonts w:ascii="Times New Roman" w:hAnsi="Times New Roman" w:cs="Times New Roman"/>
          <w:sz w:val="24"/>
          <w:szCs w:val="24"/>
        </w:rPr>
      </w:pPr>
    </w:p>
    <w:p w14:paraId="2833FD61" w14:textId="0171D781" w:rsidR="007B0065" w:rsidRPr="00503A01" w:rsidRDefault="007B0065" w:rsidP="005E6255">
      <w:pPr>
        <w:pStyle w:val="ListParagraph"/>
        <w:numPr>
          <w:ilvl w:val="0"/>
          <w:numId w:val="3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KALLËZIMET E PARAQITURA, TRAJTIMI INSTITUCIONAL I DENONCIMEVE DHE PENGESAT E MUNDSHME PËR HETIMIN EFEKTIV</w:t>
      </w:r>
    </w:p>
    <w:p w14:paraId="4293F68D" w14:textId="77777777" w:rsidR="00485AF1" w:rsidRPr="00503A01" w:rsidRDefault="00485AF1" w:rsidP="007B0065">
      <w:pPr>
        <w:pStyle w:val="ListParagraph"/>
        <w:spacing w:after="0" w:line="240" w:lineRule="auto"/>
        <w:ind w:left="1080"/>
        <w:jc w:val="both"/>
        <w:rPr>
          <w:rFonts w:ascii="Times New Roman" w:hAnsi="Times New Roman" w:cs="Times New Roman"/>
          <w:b/>
          <w:bCs/>
          <w:sz w:val="24"/>
          <w:szCs w:val="24"/>
        </w:rPr>
      </w:pPr>
    </w:p>
    <w:p w14:paraId="6D8C35D2" w14:textId="67F860F0" w:rsidR="007B0065" w:rsidRPr="00503A01" w:rsidRDefault="007B0065" w:rsidP="00FE0A0F">
      <w:pPr>
        <w:pStyle w:val="ListParagraph"/>
        <w:numPr>
          <w:ilvl w:val="0"/>
          <w:numId w:val="1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Rëndësia e kallëzimeve dhe procedimeve ekzistuese për objektin e këtij kallëzimi</w:t>
      </w:r>
    </w:p>
    <w:p w14:paraId="4F82CCD1" w14:textId="77777777" w:rsidR="007B0065" w:rsidRPr="00503A01" w:rsidRDefault="007B0065" w:rsidP="007B0065">
      <w:pPr>
        <w:pStyle w:val="ListParagraph"/>
        <w:spacing w:after="0" w:line="240" w:lineRule="auto"/>
        <w:jc w:val="both"/>
        <w:rPr>
          <w:rFonts w:ascii="Times New Roman" w:hAnsi="Times New Roman" w:cs="Times New Roman"/>
          <w:b/>
          <w:bCs/>
          <w:sz w:val="24"/>
          <w:szCs w:val="24"/>
        </w:rPr>
      </w:pPr>
    </w:p>
    <w:p w14:paraId="602BD25A" w14:textId="77777777" w:rsidR="00966ECB" w:rsidRPr="00503A01" w:rsidRDefault="00966ECB" w:rsidP="00966ECB">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Një pjesë e episodeve të denoncuara është bërë objekt ankesash, monitorimesh institucionale dhe procedimesh penale. Megjithatë, </w:t>
      </w:r>
      <w:r w:rsidRPr="00503A01">
        <w:rPr>
          <w:rFonts w:ascii="Times New Roman" w:hAnsi="Times New Roman" w:cs="Times New Roman"/>
          <w:b/>
          <w:bCs/>
          <w:i/>
          <w:sz w:val="24"/>
          <w:szCs w:val="24"/>
        </w:rPr>
        <w:t>hetimi i veprimeve individuale të efektivëve nuk përjashton nevojën për të hetuar krijimin ose ruajtjen e mundshme të kushteve organizative që pengojnë identifikimin dhe ndjekjen penale të autorëve</w:t>
      </w:r>
      <w:r w:rsidRPr="00503A01">
        <w:rPr>
          <w:rFonts w:ascii="Times New Roman" w:hAnsi="Times New Roman" w:cs="Times New Roman"/>
          <w:sz w:val="24"/>
          <w:szCs w:val="24"/>
        </w:rPr>
        <w:t>, çka përbën objektin kryesor të këtij kallëzimi.</w:t>
      </w:r>
    </w:p>
    <w:p w14:paraId="5AF64DC0" w14:textId="77777777" w:rsidR="00966ECB" w:rsidRPr="00503A01" w:rsidRDefault="00966ECB" w:rsidP="00966ECB">
      <w:pPr>
        <w:spacing w:after="0" w:line="240" w:lineRule="auto"/>
        <w:jc w:val="both"/>
        <w:rPr>
          <w:rFonts w:ascii="Times New Roman" w:hAnsi="Times New Roman" w:cs="Times New Roman"/>
          <w:sz w:val="24"/>
          <w:szCs w:val="24"/>
        </w:rPr>
      </w:pPr>
    </w:p>
    <w:p w14:paraId="0C31BE82" w14:textId="5D2E7974" w:rsidR="00966ECB" w:rsidRPr="00503A01" w:rsidRDefault="00966ECB" w:rsidP="00966ECB">
      <w:pPr>
        <w:spacing w:after="0" w:line="240" w:lineRule="auto"/>
        <w:jc w:val="both"/>
        <w:rPr>
          <w:rFonts w:ascii="Times New Roman" w:hAnsi="Times New Roman" w:cs="Times New Roman"/>
          <w:i/>
          <w:sz w:val="24"/>
          <w:szCs w:val="24"/>
        </w:rPr>
      </w:pPr>
      <w:r w:rsidRPr="00503A01">
        <w:rPr>
          <w:rFonts w:ascii="Times New Roman" w:hAnsi="Times New Roman" w:cs="Times New Roman"/>
          <w:sz w:val="24"/>
          <w:szCs w:val="24"/>
        </w:rPr>
        <w:t xml:space="preserve">Për këtë arsye, duhet të verifikohet nëse procedimet ekzistuese janë shtrirë edhe te identifikimi i njësive dhe drejtuesve përgjegjës, si dhe nëse mungesa e identifikuesve, mbulimi i fytyrave, mungesa e regjistrimeve ose mangësitë në dokumentacionin operacional kanë penguar konkretisht hetimet. </w:t>
      </w:r>
      <w:r w:rsidRPr="00503A01">
        <w:rPr>
          <w:rFonts w:ascii="Times New Roman" w:hAnsi="Times New Roman" w:cs="Times New Roman"/>
          <w:b/>
          <w:bCs/>
          <w:i/>
          <w:sz w:val="24"/>
          <w:szCs w:val="24"/>
        </w:rPr>
        <w:t>Kjo është e rëndësishme për të përcaktuar nëse mekanizmi i dyshuar i pandëshkueshmërisë ka krijuar vetëm rrezikun e pengimit të hetimit apo ka shkaktuar pengesa reale për identifikimin dhe ndjekjen penale të autorëve.</w:t>
      </w:r>
    </w:p>
    <w:p w14:paraId="0FB85DE0" w14:textId="77777777" w:rsidR="00485AF1" w:rsidRPr="00503A01" w:rsidRDefault="00485AF1" w:rsidP="007B0065">
      <w:pPr>
        <w:spacing w:after="0" w:line="240" w:lineRule="auto"/>
        <w:jc w:val="both"/>
        <w:rPr>
          <w:rFonts w:ascii="Times New Roman" w:hAnsi="Times New Roman" w:cs="Times New Roman"/>
          <w:b/>
          <w:bCs/>
          <w:sz w:val="24"/>
          <w:szCs w:val="24"/>
        </w:rPr>
      </w:pPr>
    </w:p>
    <w:p w14:paraId="13233BCB" w14:textId="0DEEE90A" w:rsidR="007B0065" w:rsidRPr="00503A01" w:rsidRDefault="004C7C08" w:rsidP="00FE0A0F">
      <w:pPr>
        <w:pStyle w:val="ListParagraph"/>
        <w:numPr>
          <w:ilvl w:val="0"/>
          <w:numId w:val="1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Kallëzimet, hetimet dhe monitorimet ekzistuese mbi shkeljet e dyshuara të punonjësve të policisë</w:t>
      </w:r>
    </w:p>
    <w:p w14:paraId="5573E9AD" w14:textId="77777777" w:rsidR="00C956C8" w:rsidRPr="00503A01" w:rsidRDefault="00C956C8" w:rsidP="00C956C8">
      <w:pPr>
        <w:pStyle w:val="ListParagraph"/>
        <w:spacing w:after="0" w:line="240" w:lineRule="auto"/>
        <w:jc w:val="both"/>
        <w:rPr>
          <w:rFonts w:ascii="Times New Roman" w:hAnsi="Times New Roman" w:cs="Times New Roman"/>
          <w:b/>
          <w:bCs/>
          <w:sz w:val="24"/>
          <w:szCs w:val="24"/>
        </w:rPr>
      </w:pPr>
    </w:p>
    <w:p w14:paraId="0665A7AC" w14:textId="20B491E2" w:rsidR="0064221F" w:rsidRPr="00503A01" w:rsidRDefault="0064221F" w:rsidP="0064221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Më 19.10.2026, Prokuroria e Tiranës konfirmoi regjistrimin, në bashkëpunim me Agjencinë e Mbikëqyrjes Policore, të tre materialeve kallëzuese lidhur me veprimet e dyshuara të punonjësve të policisë gjatë protestave, përfshirë dëmtimet e shtetasve L.B. dhe M.S., të identifikuar në raportimet mediatike si Ledion Balla dhe Muhamet Skana. Nuk rezulton ende nga informacioni publik nëse këto materiale janë regjistruar si procedime penale, cilat janë kualifikimet juridike dhe nëse janë identifikuar autorët. Nga ana tjetër, AMP njoftoi më 16.10.2026 se kishte monitoruar ndërhyrjet policore në disa qytete, kishte administruar regjistrime filmike dhe kishte nisur verifikime, përfshirë veprime procedurale nën drejtimin e prokurorisë.</w:t>
      </w:r>
    </w:p>
    <w:p w14:paraId="10A002DB" w14:textId="77777777" w:rsidR="0064221F" w:rsidRPr="00503A01" w:rsidRDefault="0064221F" w:rsidP="0064221F">
      <w:pPr>
        <w:spacing w:after="0" w:line="240" w:lineRule="auto"/>
        <w:jc w:val="both"/>
        <w:rPr>
          <w:rFonts w:ascii="Times New Roman" w:hAnsi="Times New Roman" w:cs="Times New Roman"/>
          <w:sz w:val="24"/>
          <w:szCs w:val="24"/>
        </w:rPr>
      </w:pPr>
    </w:p>
    <w:p w14:paraId="04DE1262" w14:textId="4A4D4013" w:rsidR="0064221F" w:rsidRPr="00503A01" w:rsidRDefault="0064221F" w:rsidP="0064221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 xml:space="preserve">Më 20.10.2026 u raportua gjithashtu depozitimi në SPAK i një kallëzimi penal nga aktivistë të shoqërisë civile kundër Kryeministrit Edi Rama dhe Drejtorit të Përgjithshëm Skënder Hita, i shoqëruar me pamje filmike dhe pretendime për vepra penale gjatë protestave. Ky kallëzim mund të përmbajë prova dhe fakte të përbashkëta, ndaj duhet të shqyrtohen mundësitë ligjore për administrimin e tyre ose bashkimin eventual të procedimeve, duke ruajtur </w:t>
      </w:r>
      <w:r w:rsidRPr="00503A01">
        <w:rPr>
          <w:rFonts w:ascii="Times New Roman" w:hAnsi="Times New Roman" w:cs="Times New Roman"/>
          <w:bCs/>
          <w:sz w:val="24"/>
          <w:szCs w:val="24"/>
        </w:rPr>
        <w:t>objektin e veçantë të kallëzimit tonë:</w:t>
      </w:r>
      <w:r w:rsidRPr="00503A01">
        <w:rPr>
          <w:rFonts w:ascii="Times New Roman" w:hAnsi="Times New Roman" w:cs="Times New Roman"/>
          <w:b/>
          <w:bCs/>
          <w:i/>
          <w:sz w:val="24"/>
          <w:szCs w:val="24"/>
        </w:rPr>
        <w:t xml:space="preserve"> hetimin e krijimit ose ruajtjes së qëllimshme të kushteve që pengojnë identifikimin dhe ndjekjen penale të autorëve të dhunës policore</w:t>
      </w:r>
      <w:r w:rsidRPr="00503A01">
        <w:rPr>
          <w:rFonts w:ascii="Times New Roman" w:hAnsi="Times New Roman" w:cs="Times New Roman"/>
          <w:i/>
          <w:sz w:val="24"/>
          <w:szCs w:val="24"/>
        </w:rPr>
        <w:t>.</w:t>
      </w:r>
    </w:p>
    <w:p w14:paraId="7D2F909A" w14:textId="77777777" w:rsidR="00B62C9D" w:rsidRPr="00503A01" w:rsidRDefault="00B62C9D" w:rsidP="0064221F">
      <w:pPr>
        <w:spacing w:after="0" w:line="240" w:lineRule="auto"/>
        <w:jc w:val="both"/>
        <w:rPr>
          <w:rFonts w:ascii="Times New Roman" w:hAnsi="Times New Roman" w:cs="Times New Roman"/>
          <w:sz w:val="24"/>
          <w:szCs w:val="24"/>
        </w:rPr>
      </w:pPr>
    </w:p>
    <w:p w14:paraId="5673E31C" w14:textId="456CE239" w:rsidR="0064221F" w:rsidRPr="00503A01" w:rsidRDefault="0064221F" w:rsidP="0064221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Burime të tjera të rëndësishme provash përbëjnë monitorimet e organizatave të të drejtave të njeriut dhe medias. Më 18.10.2026, Komiteti Shqiptar i Helsinkit raportoi dëmtime fizike, pretendime për dhunë dhe keqtrajtim të të miturve në ambientet e privimit nga liria, duke kërkuar hetimin e përgjegjësisë së zinxhirit komandues dhe ruajtjen e provave. Asociacioni i Gazetarëve të Shqipërisë raportoi 32 incidente ndaj medias më 19.10.2026, numër që më 21.10.2026 arriti në të paktën 37, përfshirë dhunë fizike, përdorim të mjeteve të forcës, pengim të filmimit dhe presione për fshirjen e regjistrimeve.</w:t>
      </w:r>
    </w:p>
    <w:p w14:paraId="2749F486" w14:textId="77777777" w:rsidR="00B62C9D" w:rsidRPr="00503A01" w:rsidRDefault="00B62C9D" w:rsidP="0064221F">
      <w:pPr>
        <w:spacing w:after="0" w:line="240" w:lineRule="auto"/>
        <w:jc w:val="both"/>
        <w:rPr>
          <w:rFonts w:ascii="Times New Roman" w:hAnsi="Times New Roman" w:cs="Times New Roman"/>
          <w:sz w:val="24"/>
          <w:szCs w:val="24"/>
        </w:rPr>
      </w:pPr>
    </w:p>
    <w:p w14:paraId="36DC9B24" w14:textId="77777777" w:rsidR="0064221F" w:rsidRPr="00503A01" w:rsidRDefault="0064221F" w:rsidP="0064221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Po kështu, Avokati i Popullit raportoi më 16.10.2026 </w:t>
      </w:r>
      <w:r w:rsidRPr="00503A01">
        <w:rPr>
          <w:rFonts w:ascii="Times New Roman" w:hAnsi="Times New Roman" w:cs="Times New Roman"/>
          <w:bCs/>
          <w:sz w:val="24"/>
          <w:szCs w:val="24"/>
        </w:rPr>
        <w:t>26 raste me shenja ose pretendime dhune</w:t>
      </w:r>
      <w:r w:rsidRPr="00503A01">
        <w:rPr>
          <w:rFonts w:ascii="Times New Roman" w:hAnsi="Times New Roman" w:cs="Times New Roman"/>
          <w:sz w:val="24"/>
          <w:szCs w:val="24"/>
        </w:rPr>
        <w:t>, si dhe ankesa për efektivë pa identifikues; më 20.10.2026 njoftoi administrimin e 11 ankesave të tjera dhe më 21.10.2026 edhe gjashtë ankesave për dhunë gjatë protestës së një dite më parë. Institucioni ka kryer hetime administrative dhe ka paralajmëruar referimin në prokurori të rasteve me elemente të veprave penale.</w:t>
      </w:r>
    </w:p>
    <w:p w14:paraId="53361CD0" w14:textId="77777777" w:rsidR="00B62C9D" w:rsidRPr="00503A01" w:rsidRDefault="00B62C9D" w:rsidP="0064221F">
      <w:pPr>
        <w:spacing w:after="0" w:line="240" w:lineRule="auto"/>
        <w:jc w:val="both"/>
        <w:rPr>
          <w:rFonts w:ascii="Times New Roman" w:hAnsi="Times New Roman" w:cs="Times New Roman"/>
          <w:sz w:val="24"/>
          <w:szCs w:val="24"/>
        </w:rPr>
      </w:pPr>
    </w:p>
    <w:p w14:paraId="4838721E" w14:textId="5B367512" w:rsidR="0064221F" w:rsidRPr="00503A01" w:rsidRDefault="0064221F" w:rsidP="0064221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Për këtë arsye, </w:t>
      </w:r>
      <w:r w:rsidRPr="00503A01">
        <w:rPr>
          <w:rFonts w:ascii="Times New Roman" w:hAnsi="Times New Roman" w:cs="Times New Roman"/>
          <w:bCs/>
          <w:sz w:val="24"/>
          <w:szCs w:val="24"/>
        </w:rPr>
        <w:t>SPAK duhet të administrojë, sipas procedurave ligjore, materialet relevante të Prokurorisë së Tiranës, AMP-së, Avokatit të Popullit dhe organizatave monitoruese</w:t>
      </w:r>
      <w:r w:rsidRPr="00503A01">
        <w:rPr>
          <w:rFonts w:ascii="Times New Roman" w:hAnsi="Times New Roman" w:cs="Times New Roman"/>
          <w:sz w:val="24"/>
          <w:szCs w:val="24"/>
        </w:rPr>
        <w:t>, për të përcaktuar ecurinë e procedimeve, identifikimin e efektivëve dhe drejtuesve përgjegjës, sigurimin e regjistrimeve origjinale dhe dokumentacionit operacional, si dhe pengesat eventuale të hasura gjatë hetimeve. Rëndësi vendimtare ka verifikimi nëse mungesa e identifikuesve, përdorimi i maskave, fshirja ose mosruajtja e pamjeve dhe mangësitë dokumentare kanë penguar konkretisht identifikimin e autorëve, duke ofruar prova për ekzistencën dhe funksionimin eventual të mekanizmit të dyshuar të pandëshkueshmërisë.</w:t>
      </w:r>
    </w:p>
    <w:p w14:paraId="3A268C60" w14:textId="77777777" w:rsidR="00485AF1" w:rsidRPr="00503A01" w:rsidRDefault="00485AF1" w:rsidP="007B0065">
      <w:pPr>
        <w:spacing w:after="0" w:line="240" w:lineRule="auto"/>
        <w:jc w:val="both"/>
        <w:rPr>
          <w:rFonts w:ascii="Times New Roman" w:hAnsi="Times New Roman" w:cs="Times New Roman"/>
          <w:b/>
          <w:bCs/>
          <w:sz w:val="24"/>
          <w:szCs w:val="24"/>
        </w:rPr>
      </w:pPr>
    </w:p>
    <w:p w14:paraId="523B00EE" w14:textId="26AA6386" w:rsidR="007B0065" w:rsidRPr="00503A01" w:rsidRDefault="00F36446" w:rsidP="00FE0A0F">
      <w:pPr>
        <w:pStyle w:val="ListParagraph"/>
        <w:numPr>
          <w:ilvl w:val="0"/>
          <w:numId w:val="1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Detyrimi për kallëzim dhe përgjegjësia e mundshme për mosreferimin e krimeve</w:t>
      </w:r>
    </w:p>
    <w:p w14:paraId="5889E4A0" w14:textId="77777777" w:rsidR="00620D26" w:rsidRPr="00503A01" w:rsidRDefault="00620D26" w:rsidP="00620D26">
      <w:pPr>
        <w:pStyle w:val="ListParagraph"/>
        <w:spacing w:after="0" w:line="240" w:lineRule="auto"/>
        <w:jc w:val="both"/>
        <w:rPr>
          <w:rFonts w:ascii="Times New Roman" w:hAnsi="Times New Roman" w:cs="Times New Roman"/>
          <w:b/>
          <w:bCs/>
          <w:sz w:val="24"/>
          <w:szCs w:val="24"/>
        </w:rPr>
      </w:pPr>
    </w:p>
    <w:p w14:paraId="407A80C2" w14:textId="77777777" w:rsidR="002649CF" w:rsidRPr="00503A01" w:rsidRDefault="002649CF" w:rsidP="002649C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Neni 281, pika 1, i Kodit të Procedurës Penale detyron nëpunësit publikë të kallëzojnë me shkrim veprat penale që ndiqen kryesisht, për të cilat marrin dijeni gjatë ushtrimit të detyrës, </w:t>
      </w:r>
      <w:r w:rsidRPr="00503A01">
        <w:rPr>
          <w:rFonts w:ascii="Times New Roman" w:hAnsi="Times New Roman" w:cs="Times New Roman"/>
          <w:bCs/>
          <w:sz w:val="24"/>
          <w:szCs w:val="24"/>
        </w:rPr>
        <w:t>edhe kur autori nuk është identifikuar</w:t>
      </w:r>
      <w:r w:rsidRPr="00503A01">
        <w:rPr>
          <w:rFonts w:ascii="Times New Roman" w:hAnsi="Times New Roman" w:cs="Times New Roman"/>
          <w:sz w:val="24"/>
          <w:szCs w:val="24"/>
        </w:rPr>
        <w:t>. Po kështu, neni 293 detyron policinë gjyqësore t'ia referojë prokurorit pa vonesë, dhe jo më vonë se 72 orë, elementet thelbësore të faktit dhe provat e mbledhura, duke respektuar rastet që kërkojnë njoftim të menjëhershëm. Për rrjedhojë, mosidentifikimi i efektivit të dyshuar nuk mund të shërbejë si justifikim për moskallëzimin ose mosreferimin e veprës penale.</w:t>
      </w:r>
    </w:p>
    <w:p w14:paraId="4EF419DC" w14:textId="77777777" w:rsidR="002649CF" w:rsidRPr="00503A01" w:rsidRDefault="002649CF" w:rsidP="002649CF">
      <w:pPr>
        <w:spacing w:after="0" w:line="240" w:lineRule="auto"/>
        <w:jc w:val="both"/>
        <w:rPr>
          <w:rFonts w:ascii="Times New Roman" w:hAnsi="Times New Roman" w:cs="Times New Roman"/>
          <w:sz w:val="24"/>
          <w:szCs w:val="24"/>
        </w:rPr>
      </w:pPr>
    </w:p>
    <w:p w14:paraId="36AA5E88" w14:textId="32B8ED16" w:rsidR="002649CF" w:rsidRPr="00503A01" w:rsidRDefault="002649CF" w:rsidP="002649CF">
      <w:pPr>
        <w:spacing w:after="0" w:line="240" w:lineRule="auto"/>
        <w:jc w:val="both"/>
        <w:rPr>
          <w:rFonts w:ascii="Times New Roman" w:hAnsi="Times New Roman" w:cs="Times New Roman"/>
          <w:b/>
          <w:i/>
          <w:sz w:val="24"/>
          <w:szCs w:val="24"/>
        </w:rPr>
      </w:pPr>
      <w:r w:rsidRPr="00503A01">
        <w:rPr>
          <w:rFonts w:ascii="Times New Roman" w:hAnsi="Times New Roman" w:cs="Times New Roman"/>
          <w:sz w:val="24"/>
          <w:szCs w:val="24"/>
        </w:rPr>
        <w:t xml:space="preserve">Megjithëse AMP dhe Prokuroria e Tiranës kanë konfirmuar verifikimin e disa episodeve, duhet të hetohet nëse janë referuar të gjitha rastet për të cilat drejtuesit kanë marrë dijeni. Për këtë qëllim, SPAK duhet të administrojë referimet e Policisë së Shtetit dhe AMP-së, duke i krahasuar me denoncimet publike dhe raportet institucionale, për të përcaktuar </w:t>
      </w:r>
      <w:r w:rsidRPr="00503A01">
        <w:rPr>
          <w:rFonts w:ascii="Times New Roman" w:hAnsi="Times New Roman" w:cs="Times New Roman"/>
          <w:b/>
          <w:bCs/>
          <w:i/>
          <w:sz w:val="24"/>
          <w:szCs w:val="24"/>
        </w:rPr>
        <w:t>kohën dhe personin që ka marrë dijeni, dokumentimin e ngjarjes, referimin në prokurori, administrimin e provave, udhëzimet e drejtuesve dhe arsyet e mosreferimit eventual</w:t>
      </w:r>
      <w:r w:rsidRPr="00503A01">
        <w:rPr>
          <w:rFonts w:ascii="Times New Roman" w:hAnsi="Times New Roman" w:cs="Times New Roman"/>
          <w:b/>
          <w:i/>
          <w:sz w:val="24"/>
          <w:szCs w:val="24"/>
        </w:rPr>
        <w:t>.</w:t>
      </w:r>
    </w:p>
    <w:p w14:paraId="011DF54A" w14:textId="77777777" w:rsidR="002649CF" w:rsidRPr="00503A01" w:rsidRDefault="002649CF" w:rsidP="002649CF">
      <w:pPr>
        <w:spacing w:after="0" w:line="240" w:lineRule="auto"/>
        <w:jc w:val="both"/>
        <w:rPr>
          <w:rFonts w:ascii="Times New Roman" w:hAnsi="Times New Roman" w:cs="Times New Roman"/>
          <w:sz w:val="24"/>
          <w:szCs w:val="24"/>
        </w:rPr>
      </w:pPr>
    </w:p>
    <w:p w14:paraId="40F948E5" w14:textId="7B6C3443" w:rsidR="002649CF" w:rsidRPr="00503A01" w:rsidRDefault="002649CF" w:rsidP="002649C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Nëse provohet se persona me detyrim ligjor për kallëzim kanë marrë dijeni për krime që ndiqen kryesisht dhe nuk i kanë kallëzuar, duhet të shqyrtohet përgjegjësia e tyre sipas </w:t>
      </w:r>
      <w:r w:rsidRPr="00503A01">
        <w:rPr>
          <w:rFonts w:ascii="Times New Roman" w:hAnsi="Times New Roman" w:cs="Times New Roman"/>
          <w:bCs/>
          <w:sz w:val="24"/>
          <w:szCs w:val="24"/>
        </w:rPr>
        <w:t xml:space="preserve">nenit 300 të </w:t>
      </w:r>
      <w:r w:rsidRPr="00503A01">
        <w:rPr>
          <w:rFonts w:ascii="Times New Roman" w:hAnsi="Times New Roman" w:cs="Times New Roman"/>
          <w:bCs/>
          <w:sz w:val="24"/>
          <w:szCs w:val="24"/>
        </w:rPr>
        <w:lastRenderedPageBreak/>
        <w:t>Kodit Penal</w:t>
      </w:r>
      <w:r w:rsidRPr="00503A01">
        <w:rPr>
          <w:rFonts w:ascii="Times New Roman" w:hAnsi="Times New Roman" w:cs="Times New Roman"/>
          <w:sz w:val="24"/>
          <w:szCs w:val="24"/>
        </w:rPr>
        <w:t xml:space="preserve">, kur plotësohen elementet e veprës. Nëse konstatohen edhe veprime të qëllimshme për fshehjen, ndryshimin ose asgjësimin e provave, duhet të vlerësohet veçmas zbatueshmëria e </w:t>
      </w:r>
      <w:r w:rsidRPr="00503A01">
        <w:rPr>
          <w:rFonts w:ascii="Times New Roman" w:hAnsi="Times New Roman" w:cs="Times New Roman"/>
          <w:bCs/>
          <w:sz w:val="24"/>
          <w:szCs w:val="24"/>
        </w:rPr>
        <w:t>nenit 301 të Kodit Penal</w:t>
      </w:r>
      <w:r w:rsidRPr="00503A01">
        <w:rPr>
          <w:rFonts w:ascii="Times New Roman" w:hAnsi="Times New Roman" w:cs="Times New Roman"/>
          <w:sz w:val="24"/>
          <w:szCs w:val="24"/>
        </w:rPr>
        <w:t>, sipas elementeve të tij.</w:t>
      </w:r>
    </w:p>
    <w:p w14:paraId="76C15919" w14:textId="77777777" w:rsidR="003D4D20" w:rsidRPr="00503A01" w:rsidRDefault="003D4D20" w:rsidP="007B0065">
      <w:pPr>
        <w:spacing w:after="0" w:line="240" w:lineRule="auto"/>
        <w:jc w:val="both"/>
        <w:rPr>
          <w:rFonts w:ascii="Times New Roman" w:hAnsi="Times New Roman" w:cs="Times New Roman"/>
          <w:b/>
          <w:bCs/>
          <w:sz w:val="24"/>
          <w:szCs w:val="24"/>
        </w:rPr>
      </w:pPr>
    </w:p>
    <w:p w14:paraId="459E0F07" w14:textId="0EB3F342" w:rsidR="007B0065" w:rsidRPr="00503A01" w:rsidRDefault="00AA0B32" w:rsidP="00FE0A0F">
      <w:pPr>
        <w:pStyle w:val="ListParagraph"/>
        <w:numPr>
          <w:ilvl w:val="0"/>
          <w:numId w:val="1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Verifikimi i pengesave konkrete të identifikimit dhe nevoja për një hetim të pavarur e gjithëpërfshirës</w:t>
      </w:r>
    </w:p>
    <w:p w14:paraId="42C04E3F" w14:textId="77777777" w:rsidR="00A45A71" w:rsidRPr="00503A01" w:rsidRDefault="00A45A71" w:rsidP="00A45A71">
      <w:pPr>
        <w:pStyle w:val="ListParagraph"/>
        <w:spacing w:after="0" w:line="240" w:lineRule="auto"/>
        <w:jc w:val="both"/>
        <w:rPr>
          <w:rFonts w:ascii="Times New Roman" w:hAnsi="Times New Roman" w:cs="Times New Roman"/>
          <w:b/>
          <w:bCs/>
          <w:sz w:val="24"/>
          <w:szCs w:val="24"/>
        </w:rPr>
      </w:pPr>
    </w:p>
    <w:p w14:paraId="2CC482EC" w14:textId="77777777" w:rsidR="00A23223" w:rsidRPr="00503A01" w:rsidRDefault="00A23223" w:rsidP="00A23223">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Për objektin e këtij kallëzimi, rëndësi vendimtare ka përcaktimi nëse organet proceduese kanë hasur pengesa konkrete për identifikimin e autorëve të dhunës policore, për shkak të përdorimit të maskave, mungesës së identifikuesve individualë, mangësive në dokumentacionin operacional, mosruajtjes së regjistrimeve filmike ose pengimit të dëshmitarëve dhe gazetarëve. Duhet të verifikohet nëse këto pengesa kanë ndikuar realisht në hetimet ekzistuese dhe nëse kanë ardhur nga shkaqe objektive, shkelje të procedurave apo veprime ose mosveprime të qëllimshme.</w:t>
      </w:r>
    </w:p>
    <w:p w14:paraId="6A6F38C9" w14:textId="77777777" w:rsidR="00A23223" w:rsidRPr="00503A01" w:rsidRDefault="00A23223" w:rsidP="00A23223">
      <w:pPr>
        <w:spacing w:after="0" w:line="240" w:lineRule="auto"/>
        <w:jc w:val="both"/>
        <w:rPr>
          <w:rFonts w:ascii="Times New Roman" w:hAnsi="Times New Roman" w:cs="Times New Roman"/>
          <w:sz w:val="24"/>
          <w:szCs w:val="24"/>
        </w:rPr>
      </w:pPr>
    </w:p>
    <w:p w14:paraId="09DF6357" w14:textId="77777777" w:rsidR="00A23223" w:rsidRPr="00503A01" w:rsidRDefault="00A23223" w:rsidP="00A23223">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Në këtë analizë duhet të merren parasysh edhe rastet kur identifikimi ka qenë i mundur. Pezullimi i shtatë efektivëve, i njoftuar nga Drejtori i Përgjithshëm Skënder Hita, tregon se të paktën disa punonjës janë identifikuar. Për këtë arsye, duhet të administrohet dokumentacioni i këtyre rasteve për të përcaktuar </w:t>
      </w:r>
      <w:r w:rsidRPr="00503A01">
        <w:rPr>
          <w:rFonts w:ascii="Times New Roman" w:hAnsi="Times New Roman" w:cs="Times New Roman"/>
          <w:b/>
          <w:bCs/>
          <w:i/>
          <w:sz w:val="24"/>
          <w:szCs w:val="24"/>
        </w:rPr>
        <w:t>si është realizuar identifikimi dhe përse mekanizmat përkatës mund të mos kenë funksionuar në episode të tjera</w:t>
      </w:r>
      <w:r w:rsidRPr="00503A01">
        <w:rPr>
          <w:rFonts w:ascii="Times New Roman" w:hAnsi="Times New Roman" w:cs="Times New Roman"/>
          <w:sz w:val="24"/>
          <w:szCs w:val="24"/>
        </w:rPr>
        <w:t>. Krahasimi ndërmjet rasteve të identifikuara dhe atyre të pazbardhura është thelbësor për vlerësimin e efektivitetit real të sistemit të gjurmueshmërisë së efektivëve.</w:t>
      </w:r>
    </w:p>
    <w:p w14:paraId="54864894" w14:textId="77777777" w:rsidR="00A23223" w:rsidRPr="00503A01" w:rsidRDefault="00A23223" w:rsidP="00A23223">
      <w:pPr>
        <w:spacing w:after="0" w:line="240" w:lineRule="auto"/>
        <w:jc w:val="both"/>
        <w:rPr>
          <w:rFonts w:ascii="Times New Roman" w:hAnsi="Times New Roman" w:cs="Times New Roman"/>
          <w:sz w:val="24"/>
          <w:szCs w:val="24"/>
        </w:rPr>
      </w:pPr>
    </w:p>
    <w:p w14:paraId="59F2BEA5" w14:textId="47E26D42" w:rsidR="00A23223" w:rsidRPr="00503A01" w:rsidRDefault="00A23223" w:rsidP="00A23223">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Për këtë qëllim, SPAK duhet të administrojë, brenda kompetencës së tij dhe sipas procedurave ligjore, materialet relevante të Prokurorisë së Tiranës, AMP-së, Policisë së Shtetit, Avokatit të Popullit dhe organizatave monitoruese, duke hartuar një pasqyrë të përbashkët të kallëzimeve dhe procedimeve. Ajo duhet të përmbajë ngjarjet, strukturat dhe efektivët e përfshirë, statusin procedural, provat e administruara, rezultatet e identifikimit dhe pengesat e konstatuara. Analiza e përbashkët mund të evidentojë lidhje organizative dhe praktika të përsëritura që nuk dalin nga shqyrtimi i izoluar i episodeve, pa cenuar pavarësinë dhe fshehtësinë e procedimeve ekzistuese.</w:t>
      </w:r>
    </w:p>
    <w:p w14:paraId="64136CBE" w14:textId="77777777" w:rsidR="00A23223" w:rsidRPr="00503A01" w:rsidRDefault="00A23223" w:rsidP="00A23223">
      <w:pPr>
        <w:spacing w:after="0" w:line="240" w:lineRule="auto"/>
        <w:jc w:val="both"/>
        <w:rPr>
          <w:rFonts w:ascii="Times New Roman" w:hAnsi="Times New Roman" w:cs="Times New Roman"/>
          <w:b/>
          <w:bCs/>
          <w:sz w:val="24"/>
          <w:szCs w:val="24"/>
        </w:rPr>
      </w:pPr>
    </w:p>
    <w:p w14:paraId="5088A911" w14:textId="60A9B54F" w:rsidR="00A23223" w:rsidRPr="00503A01" w:rsidRDefault="00A23223" w:rsidP="00A23223">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Hetimi i mekanizmit të dyshuar duhet të garantojë pavarësi efektive nga strukturat dhe drejtuesit potencialisht të përfshirë.</w:t>
      </w:r>
      <w:r w:rsidRPr="00503A01">
        <w:rPr>
          <w:rFonts w:ascii="Times New Roman" w:hAnsi="Times New Roman" w:cs="Times New Roman"/>
          <w:sz w:val="24"/>
          <w:szCs w:val="24"/>
        </w:rPr>
        <w:t xml:space="preserve"> Nëse SPAK konstaton kompetencën e tij, kërkohet që administrimi dhe ruajtja e provave të kryhen përmes BKH, pa ua lënë kontrollin ekskluziv mbi to personave objekt hetimi. Në përfundim, duhet të përcaktohet nëse vështirësitë e identifikimit kanë qenë objektive apo rezultat i kushteve të krijuara, të lejuara ose të ruajtura me vetëdije për të siguruar pandëshkueshmërinë. Në rastin e fundit, hetimi duhet të shtrihet te origjina, funksionimi dhe përgjegjësitë individuale për mekanizmin e dyshuar, përtej veprave konkrete të dhunës.</w:t>
      </w:r>
    </w:p>
    <w:p w14:paraId="07A2D605" w14:textId="77777777" w:rsidR="00C73AC4" w:rsidRPr="00503A01" w:rsidRDefault="00C73AC4" w:rsidP="00184738">
      <w:pPr>
        <w:spacing w:after="0" w:line="240" w:lineRule="auto"/>
        <w:jc w:val="both"/>
        <w:rPr>
          <w:rFonts w:ascii="Times New Roman" w:hAnsi="Times New Roman" w:cs="Times New Roman"/>
          <w:b/>
          <w:bCs/>
          <w:sz w:val="24"/>
          <w:szCs w:val="24"/>
        </w:rPr>
      </w:pPr>
    </w:p>
    <w:p w14:paraId="6B0309AF" w14:textId="77777777" w:rsidR="00C54CFF" w:rsidRPr="00503A01" w:rsidRDefault="00C54CFF" w:rsidP="00184738">
      <w:pPr>
        <w:spacing w:after="0" w:line="240" w:lineRule="auto"/>
        <w:jc w:val="both"/>
        <w:rPr>
          <w:rFonts w:ascii="Times New Roman" w:hAnsi="Times New Roman" w:cs="Times New Roman"/>
          <w:b/>
          <w:bCs/>
          <w:sz w:val="24"/>
          <w:szCs w:val="24"/>
        </w:rPr>
      </w:pPr>
    </w:p>
    <w:p w14:paraId="3702ADCF" w14:textId="3EC1C83C" w:rsidR="00A85398" w:rsidRPr="00503A01" w:rsidRDefault="00A85398" w:rsidP="005E6255">
      <w:pPr>
        <w:pStyle w:val="ListParagraph"/>
        <w:numPr>
          <w:ilvl w:val="0"/>
          <w:numId w:val="37"/>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PËRGJEGJËSIA E MUNDSHME PENALE E DREJTUESVE DHE KUALIFIKIMI JURIDIK I FAKTEVE</w:t>
      </w:r>
    </w:p>
    <w:p w14:paraId="118F3A71" w14:textId="77777777" w:rsidR="00A85398" w:rsidRPr="00503A01" w:rsidRDefault="00A85398" w:rsidP="00A85398">
      <w:pPr>
        <w:pStyle w:val="ListParagraph"/>
        <w:spacing w:after="0" w:line="240" w:lineRule="auto"/>
        <w:ind w:left="1080"/>
        <w:jc w:val="both"/>
        <w:rPr>
          <w:rFonts w:ascii="Times New Roman" w:hAnsi="Times New Roman" w:cs="Times New Roman"/>
          <w:b/>
          <w:bCs/>
          <w:sz w:val="20"/>
          <w:szCs w:val="20"/>
          <w:lang w:val="de-AT"/>
        </w:rPr>
      </w:pPr>
    </w:p>
    <w:p w14:paraId="7CD2BDF5" w14:textId="13A8282B" w:rsidR="00A85398" w:rsidRPr="00503A01" w:rsidRDefault="00A85398" w:rsidP="00FE0A0F">
      <w:pPr>
        <w:pStyle w:val="ListParagraph"/>
        <w:numPr>
          <w:ilvl w:val="0"/>
          <w:numId w:val="24"/>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Objekti i përgjegjësisë penale që kërkohet të hetohet</w:t>
      </w:r>
    </w:p>
    <w:p w14:paraId="31187E0B" w14:textId="77777777" w:rsidR="00A85398" w:rsidRPr="00503A01" w:rsidRDefault="00A85398" w:rsidP="00A85398">
      <w:pPr>
        <w:pStyle w:val="ListParagraph"/>
        <w:spacing w:after="0" w:line="240" w:lineRule="auto"/>
        <w:jc w:val="both"/>
        <w:rPr>
          <w:rFonts w:ascii="Times New Roman" w:hAnsi="Times New Roman" w:cs="Times New Roman"/>
          <w:b/>
          <w:bCs/>
          <w:sz w:val="24"/>
          <w:szCs w:val="24"/>
          <w:lang w:val="de-AT"/>
        </w:rPr>
      </w:pPr>
    </w:p>
    <w:p w14:paraId="28315696" w14:textId="77777777" w:rsidR="006619D3" w:rsidRPr="00503A01" w:rsidRDefault="006619D3" w:rsidP="006619D3">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 xml:space="preserve">Faktet e paraqitura ngrenë dyshimin se gjatë protestave të tetorit 2026 mund të jetë krijuar ose ruajtur me vetëdije një mekanizëm që pengon identifikimin dhe ndjekjen penale të autorëve të dhunës policore, përmes dislokimit të efektivëve të maskuar pa identifikues individualë, </w:t>
      </w:r>
      <w:r w:rsidRPr="00503A01">
        <w:rPr>
          <w:rFonts w:ascii="Times New Roman" w:hAnsi="Times New Roman" w:cs="Times New Roman"/>
          <w:sz w:val="24"/>
          <w:szCs w:val="24"/>
          <w:lang w:val="de-AT"/>
        </w:rPr>
        <w:lastRenderedPageBreak/>
        <w:t>pengimit të dokumentimit filmik dhe mangësive në regjistrimin e ruajtjen e provave dhe dokumentacionit operacional.</w:t>
      </w:r>
    </w:p>
    <w:p w14:paraId="7556D852" w14:textId="77777777" w:rsidR="006619D3" w:rsidRPr="00503A01" w:rsidRDefault="006619D3" w:rsidP="006619D3">
      <w:pPr>
        <w:spacing w:after="0" w:line="240" w:lineRule="auto"/>
        <w:jc w:val="both"/>
        <w:rPr>
          <w:rFonts w:ascii="Times New Roman" w:hAnsi="Times New Roman" w:cs="Times New Roman"/>
          <w:b/>
          <w:bCs/>
          <w:sz w:val="24"/>
          <w:szCs w:val="24"/>
          <w:lang w:val="de-AT"/>
        </w:rPr>
      </w:pPr>
    </w:p>
    <w:p w14:paraId="58B60EAA" w14:textId="70D48BF4" w:rsidR="006619D3" w:rsidRPr="00503A01" w:rsidRDefault="006619D3" w:rsidP="006619D3">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bCs/>
          <w:sz w:val="24"/>
          <w:szCs w:val="24"/>
          <w:lang w:val="de-AT"/>
        </w:rPr>
        <w:t xml:space="preserve">Objekti i kallëzimit është hetimi nëse </w:t>
      </w:r>
      <w:r w:rsidR="00FA49B5" w:rsidRPr="00503A01">
        <w:rPr>
          <w:rFonts w:ascii="Times New Roman" w:hAnsi="Times New Roman" w:cs="Times New Roman"/>
          <w:bCs/>
          <w:sz w:val="24"/>
          <w:szCs w:val="24"/>
          <w:lang w:val="de-AT"/>
        </w:rPr>
        <w:t>drejtuesit dhe personat e tjerë të përmendur</w:t>
      </w:r>
      <w:r w:rsidRPr="00503A01">
        <w:rPr>
          <w:rFonts w:ascii="Times New Roman" w:hAnsi="Times New Roman" w:cs="Times New Roman"/>
          <w:bCs/>
          <w:sz w:val="24"/>
          <w:szCs w:val="24"/>
          <w:lang w:val="de-AT"/>
        </w:rPr>
        <w:t>, përmes veprimeve ose mosveprimeve të tyre, kanë organizuar, urdhëruar, lejuar ose ruajtur me dashje kushte që lehtësojnë kryerjen e veprave penale dhe pengojnë identifikimin e ndjekjen e autorëve.</w:t>
      </w:r>
      <w:r w:rsidR="006B5781" w:rsidRPr="00503A01">
        <w:rPr>
          <w:rFonts w:ascii="Times New Roman" w:hAnsi="Times New Roman" w:cs="Times New Roman"/>
          <w:sz w:val="24"/>
          <w:szCs w:val="24"/>
          <w:lang w:val="de-AT"/>
        </w:rPr>
        <w:t xml:space="preserve"> </w:t>
      </w:r>
      <w:r w:rsidRPr="00503A01">
        <w:rPr>
          <w:rFonts w:ascii="Times New Roman" w:hAnsi="Times New Roman" w:cs="Times New Roman"/>
          <w:sz w:val="24"/>
          <w:szCs w:val="24"/>
          <w:lang w:val="de-AT"/>
        </w:rPr>
        <w:t xml:space="preserve">Përgjegjësia eventuale duhet të shqyrtohet në tre drejtime: </w:t>
      </w:r>
      <w:r w:rsidRPr="00503A01">
        <w:rPr>
          <w:rFonts w:ascii="Times New Roman" w:hAnsi="Times New Roman" w:cs="Times New Roman"/>
          <w:bCs/>
          <w:sz w:val="24"/>
          <w:szCs w:val="24"/>
          <w:lang w:val="de-AT"/>
        </w:rPr>
        <w:t>(</w:t>
      </w:r>
      <w:r w:rsidR="006B5781" w:rsidRPr="00503A01">
        <w:rPr>
          <w:rFonts w:ascii="Times New Roman" w:hAnsi="Times New Roman" w:cs="Times New Roman"/>
          <w:bCs/>
          <w:sz w:val="24"/>
          <w:szCs w:val="24"/>
          <w:lang w:val="de-AT"/>
        </w:rPr>
        <w:t>1</w:t>
      </w:r>
      <w:r w:rsidRPr="00503A01">
        <w:rPr>
          <w:rFonts w:ascii="Times New Roman" w:hAnsi="Times New Roman" w:cs="Times New Roman"/>
          <w:bCs/>
          <w:sz w:val="24"/>
          <w:szCs w:val="24"/>
          <w:lang w:val="de-AT"/>
        </w:rPr>
        <w:t>)</w:t>
      </w:r>
      <w:r w:rsidRPr="00503A01">
        <w:rPr>
          <w:rFonts w:ascii="Times New Roman" w:hAnsi="Times New Roman" w:cs="Times New Roman"/>
          <w:sz w:val="24"/>
          <w:szCs w:val="24"/>
          <w:lang w:val="de-AT"/>
        </w:rPr>
        <w:t xml:space="preserve"> përgjegjësia individuale për shpërdorim detyre; </w:t>
      </w:r>
      <w:r w:rsidRPr="00503A01">
        <w:rPr>
          <w:rFonts w:ascii="Times New Roman" w:hAnsi="Times New Roman" w:cs="Times New Roman"/>
          <w:bCs/>
          <w:sz w:val="24"/>
          <w:szCs w:val="24"/>
          <w:lang w:val="de-AT"/>
        </w:rPr>
        <w:t>(</w:t>
      </w:r>
      <w:r w:rsidR="006B5781" w:rsidRPr="00503A01">
        <w:rPr>
          <w:rFonts w:ascii="Times New Roman" w:hAnsi="Times New Roman" w:cs="Times New Roman"/>
          <w:bCs/>
          <w:sz w:val="24"/>
          <w:szCs w:val="24"/>
          <w:lang w:val="de-AT"/>
        </w:rPr>
        <w:t>2</w:t>
      </w:r>
      <w:r w:rsidRPr="00503A01">
        <w:rPr>
          <w:rFonts w:ascii="Times New Roman" w:hAnsi="Times New Roman" w:cs="Times New Roman"/>
          <w:bCs/>
          <w:sz w:val="24"/>
          <w:szCs w:val="24"/>
          <w:lang w:val="de-AT"/>
        </w:rPr>
        <w:t>)</w:t>
      </w:r>
      <w:r w:rsidRPr="00503A01">
        <w:rPr>
          <w:rFonts w:ascii="Times New Roman" w:hAnsi="Times New Roman" w:cs="Times New Roman"/>
          <w:sz w:val="24"/>
          <w:szCs w:val="24"/>
          <w:lang w:val="de-AT"/>
        </w:rPr>
        <w:t xml:space="preserve"> përgjegjësia në bashkëpunim për veprat penale përkatëse; dhe </w:t>
      </w:r>
      <w:r w:rsidRPr="00503A01">
        <w:rPr>
          <w:rFonts w:ascii="Times New Roman" w:hAnsi="Times New Roman" w:cs="Times New Roman"/>
          <w:bCs/>
          <w:sz w:val="24"/>
          <w:szCs w:val="24"/>
          <w:lang w:val="de-AT"/>
        </w:rPr>
        <w:t>(</w:t>
      </w:r>
      <w:r w:rsidR="006B5781" w:rsidRPr="00503A01">
        <w:rPr>
          <w:rFonts w:ascii="Times New Roman" w:hAnsi="Times New Roman" w:cs="Times New Roman"/>
          <w:bCs/>
          <w:sz w:val="24"/>
          <w:szCs w:val="24"/>
          <w:lang w:val="de-AT"/>
        </w:rPr>
        <w:t>3</w:t>
      </w:r>
      <w:r w:rsidRPr="00503A01">
        <w:rPr>
          <w:rFonts w:ascii="Times New Roman" w:hAnsi="Times New Roman" w:cs="Times New Roman"/>
          <w:bCs/>
          <w:sz w:val="24"/>
          <w:szCs w:val="24"/>
          <w:lang w:val="de-AT"/>
        </w:rPr>
        <w:t>)</w:t>
      </w:r>
      <w:r w:rsidRPr="00503A01">
        <w:rPr>
          <w:rFonts w:ascii="Times New Roman" w:hAnsi="Times New Roman" w:cs="Times New Roman"/>
          <w:sz w:val="24"/>
          <w:szCs w:val="24"/>
          <w:lang w:val="de-AT"/>
        </w:rPr>
        <w:t xml:space="preserve"> përgjegjësia për krijimin, organizimin, drejtimin ose pjesëmarrjen në një grup të strukturuar kriminal, nëse provohen elementet e posaçme ligjore. Për këtë qëllim, kërkohet hetimi i urdhrave, vendimmarrjeve, komunikimeve dhe kontributit konkret të secilit person të përfshirë.</w:t>
      </w:r>
    </w:p>
    <w:p w14:paraId="1B1E794F" w14:textId="77777777" w:rsidR="008C67D7" w:rsidRPr="00503A01" w:rsidRDefault="008C67D7" w:rsidP="006619D3">
      <w:pPr>
        <w:spacing w:after="0" w:line="240" w:lineRule="auto"/>
        <w:jc w:val="both"/>
        <w:rPr>
          <w:rFonts w:ascii="Times New Roman" w:hAnsi="Times New Roman" w:cs="Times New Roman"/>
          <w:sz w:val="24"/>
          <w:szCs w:val="24"/>
          <w:lang w:val="de-AT"/>
        </w:rPr>
      </w:pPr>
    </w:p>
    <w:p w14:paraId="2B11981F" w14:textId="030B422A" w:rsidR="008C67D7" w:rsidRPr="00503A01" w:rsidRDefault="008C67D7" w:rsidP="006619D3">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Për secilin person kërkohet të përcaktohen detyrimi konkret ligjor ose funksional, veprimi ose mosveprimi që pretendohet se e ka cenuar, dijenia dhe mundësia reale për të vepruar, si dhe lidhja me veprën penale të dyshuar.</w:t>
      </w:r>
    </w:p>
    <w:p w14:paraId="3E5FA4EA" w14:textId="77777777" w:rsidR="00485AF1" w:rsidRPr="00503A01" w:rsidRDefault="00485AF1" w:rsidP="00A85398">
      <w:pPr>
        <w:spacing w:after="0" w:line="240" w:lineRule="auto"/>
        <w:jc w:val="both"/>
        <w:rPr>
          <w:rFonts w:ascii="Times New Roman" w:hAnsi="Times New Roman" w:cs="Times New Roman"/>
          <w:b/>
          <w:bCs/>
          <w:sz w:val="20"/>
          <w:szCs w:val="20"/>
          <w:lang w:val="de-AT"/>
        </w:rPr>
      </w:pPr>
    </w:p>
    <w:p w14:paraId="361E850F" w14:textId="429B1B67" w:rsidR="00A85398" w:rsidRPr="00503A01" w:rsidRDefault="004B4494" w:rsidP="00FE0A0F">
      <w:pPr>
        <w:pStyle w:val="ListParagraph"/>
        <w:numPr>
          <w:ilvl w:val="0"/>
          <w:numId w:val="2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Shpërdorimi i detyrës dhe pengimi i lirisë së tubimit – nenet 248 dhe 261 të Kodit Penal</w:t>
      </w:r>
    </w:p>
    <w:p w14:paraId="6EB15731" w14:textId="77777777" w:rsidR="003621B1" w:rsidRPr="00503A01" w:rsidRDefault="003621B1" w:rsidP="003621B1">
      <w:pPr>
        <w:pStyle w:val="ListParagraph"/>
        <w:spacing w:after="0" w:line="240" w:lineRule="auto"/>
        <w:jc w:val="both"/>
        <w:rPr>
          <w:rFonts w:ascii="Times New Roman" w:hAnsi="Times New Roman" w:cs="Times New Roman"/>
          <w:b/>
          <w:bCs/>
          <w:sz w:val="24"/>
          <w:szCs w:val="24"/>
        </w:rPr>
      </w:pPr>
    </w:p>
    <w:p w14:paraId="2A240011" w14:textId="77777777" w:rsidR="00B76838" w:rsidRPr="00503A01" w:rsidRDefault="00B76838" w:rsidP="00B7683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Neni 248 i Kodit Penal parashikon përgjegjësinë për veprimet ose mosveprimet e kryera me dashje në kundërshtim me ligjin, gjatë ushtrimit të funksionit publik, kur sjellin përfitime të padrejta materiale ose jomateriale apo dëmtim të interesave të ligjshëm të shtetit ose personave të tjerë, nëse nuk përbëjnë vepër tjetër penale. Në rastin konkret, duhet të hetohet nëse drejtuesit policorë, në kundërshtim me detyrimet e nenit 10 të ligjit nr. 82/2024 dhe nenit 110 të Rregullores së Policisë së Shtetit, kanë urdhëruar, organizuar ose lejuar me dashje dislokimin e efektivëve pa identifikues individualë, pengimin e dokumentimit filmik apo mosruajtjen e provave dhe dokumentacionit operacional.</w:t>
      </w:r>
    </w:p>
    <w:p w14:paraId="39EAC7FC" w14:textId="77777777" w:rsidR="00B76838" w:rsidRPr="00503A01" w:rsidRDefault="00B76838" w:rsidP="00B76838">
      <w:pPr>
        <w:spacing w:after="0" w:line="240" w:lineRule="auto"/>
        <w:jc w:val="both"/>
        <w:rPr>
          <w:rFonts w:ascii="Times New Roman" w:hAnsi="Times New Roman" w:cs="Times New Roman"/>
          <w:b/>
          <w:bCs/>
          <w:sz w:val="24"/>
          <w:szCs w:val="24"/>
        </w:rPr>
      </w:pPr>
    </w:p>
    <w:p w14:paraId="42234725" w14:textId="3BC9706D" w:rsidR="00B76838" w:rsidRPr="00503A01" w:rsidRDefault="00B76838" w:rsidP="00B76838">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Përfitimi i padrejtë jomaterial që kërkohet të hetohet është sigurimi paraprak i kushteve të pandëshkueshmërisë për efektivët që mund të kryejnë veprime penale</w:t>
      </w:r>
      <w:r w:rsidRPr="00503A01">
        <w:rPr>
          <w:rFonts w:ascii="Times New Roman" w:hAnsi="Times New Roman" w:cs="Times New Roman"/>
          <w:i/>
          <w:sz w:val="24"/>
          <w:szCs w:val="24"/>
        </w:rPr>
        <w:t>,</w:t>
      </w:r>
      <w:r w:rsidRPr="00503A01">
        <w:rPr>
          <w:rFonts w:ascii="Times New Roman" w:hAnsi="Times New Roman" w:cs="Times New Roman"/>
          <w:sz w:val="24"/>
          <w:szCs w:val="24"/>
        </w:rPr>
        <w:t xml:space="preserve"> duke zvogëluar mundësinë e identifikimit dhe ndjekjes së tyre. Një mekanizëm i tillë, nëse provohet, mund të cenojë njëkohësisht të drejtat e viktimave për hetim efektiv, interesin e shtetit për zbatimin e ligjit penal dhe funksionimin e rregullt të drejtësisë. Kualifikimi sipas nenit 248 kërkon provimin e elementeve objektive dhe subjektive të veprës, duke respektuar karakterin subsidiar të kësaj dispozite.</w:t>
      </w:r>
    </w:p>
    <w:p w14:paraId="46AC3409" w14:textId="77777777" w:rsidR="00B76838" w:rsidRPr="00503A01" w:rsidRDefault="00B76838" w:rsidP="00B76838">
      <w:pPr>
        <w:spacing w:after="0" w:line="240" w:lineRule="auto"/>
        <w:jc w:val="both"/>
        <w:rPr>
          <w:rFonts w:ascii="Times New Roman" w:hAnsi="Times New Roman" w:cs="Times New Roman"/>
          <w:sz w:val="24"/>
          <w:szCs w:val="24"/>
        </w:rPr>
      </w:pPr>
    </w:p>
    <w:p w14:paraId="5E6D2E68" w14:textId="7F06E5D6" w:rsidR="00B76838" w:rsidRPr="00503A01" w:rsidRDefault="00B76838" w:rsidP="00B7683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Faktet kërkojnë hetim edhe në kuadër të </w:t>
      </w:r>
      <w:r w:rsidRPr="00503A01">
        <w:rPr>
          <w:rFonts w:ascii="Times New Roman" w:hAnsi="Times New Roman" w:cs="Times New Roman"/>
          <w:bCs/>
          <w:sz w:val="24"/>
          <w:szCs w:val="24"/>
        </w:rPr>
        <w:t>nenit 261 të Kodit Penal</w:t>
      </w:r>
      <w:r w:rsidRPr="00503A01">
        <w:rPr>
          <w:rFonts w:ascii="Times New Roman" w:hAnsi="Times New Roman" w:cs="Times New Roman"/>
          <w:sz w:val="24"/>
          <w:szCs w:val="24"/>
        </w:rPr>
        <w:t>, që ndëshkon pengimin e ushtrimit të lirisë së shprehjes, grumbullimit ose manifestimit (paragrafi 1), me formë të cilësuar kur veprimet shoqërohen me dhunë fizike (paragrafi 2). Hipoteza që kërkohet të verifikohet është nëse pandëshkueshmëria e mundshme e efektivëve ka shërbyer si instrument për një qëllim më të gjerë: frikësimin e qytetarëve dhe dekurajimin e pjesëmarrjes në protesta paqësore, përmes dhunës ndaj personave të neutralizuar, shoqërimeve arbitrare, ndërhyrjeve ndaj kalimtarëve, përdorimit joproporcional të mjeteve të forcës dhe pengimit të nxënësve e studentëve.</w:t>
      </w:r>
    </w:p>
    <w:p w14:paraId="745376A3" w14:textId="77777777" w:rsidR="00B76838" w:rsidRPr="00503A01" w:rsidRDefault="00B76838" w:rsidP="00B76838">
      <w:pPr>
        <w:spacing w:after="0" w:line="240" w:lineRule="auto"/>
        <w:jc w:val="both"/>
        <w:rPr>
          <w:rFonts w:ascii="Times New Roman" w:hAnsi="Times New Roman" w:cs="Times New Roman"/>
          <w:sz w:val="24"/>
          <w:szCs w:val="24"/>
        </w:rPr>
      </w:pPr>
    </w:p>
    <w:p w14:paraId="1D9A2F10" w14:textId="57550952" w:rsidR="00B76838" w:rsidRPr="00503A01" w:rsidRDefault="00B76838" w:rsidP="00B7683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GJEDNJ ka theksuar se dhuna e disa pjesëmarrësve nuk ua heq automatikisht mbrojtjen e nenit 11 të KEDNJ-së personave që mbeten paqësorë (</w:t>
      </w:r>
      <w:r w:rsidRPr="00503A01">
        <w:rPr>
          <w:rFonts w:ascii="Times New Roman" w:hAnsi="Times New Roman" w:cs="Times New Roman"/>
          <w:i/>
          <w:iCs/>
          <w:sz w:val="24"/>
          <w:szCs w:val="24"/>
        </w:rPr>
        <w:t>Tsaava dhe të Tjerë kundër Gjeorgjisë</w:t>
      </w:r>
      <w:r w:rsidRPr="00503A01">
        <w:rPr>
          <w:rFonts w:ascii="Times New Roman" w:hAnsi="Times New Roman" w:cs="Times New Roman"/>
          <w:sz w:val="24"/>
          <w:szCs w:val="24"/>
        </w:rPr>
        <w:t xml:space="preserve">, § 418; </w:t>
      </w:r>
      <w:r w:rsidRPr="00503A01">
        <w:rPr>
          <w:rFonts w:ascii="Times New Roman" w:hAnsi="Times New Roman" w:cs="Times New Roman"/>
          <w:i/>
          <w:iCs/>
          <w:sz w:val="24"/>
          <w:szCs w:val="24"/>
        </w:rPr>
        <w:t>Ezelin kundër Francës</w:t>
      </w:r>
      <w:r w:rsidRPr="00503A01">
        <w:rPr>
          <w:rFonts w:ascii="Times New Roman" w:hAnsi="Times New Roman" w:cs="Times New Roman"/>
          <w:sz w:val="24"/>
          <w:szCs w:val="24"/>
        </w:rPr>
        <w:t xml:space="preserve">, § 53; </w:t>
      </w:r>
      <w:r w:rsidRPr="00503A01">
        <w:rPr>
          <w:rFonts w:ascii="Times New Roman" w:hAnsi="Times New Roman" w:cs="Times New Roman"/>
          <w:i/>
          <w:iCs/>
          <w:sz w:val="24"/>
          <w:szCs w:val="24"/>
        </w:rPr>
        <w:t>Primov dhe të Tjerë kundër Rusisë</w:t>
      </w:r>
      <w:r w:rsidRPr="00503A01">
        <w:rPr>
          <w:rFonts w:ascii="Times New Roman" w:hAnsi="Times New Roman" w:cs="Times New Roman"/>
          <w:sz w:val="24"/>
          <w:szCs w:val="24"/>
        </w:rPr>
        <w:t xml:space="preserve">, § 155). Në çështjen </w:t>
      </w:r>
      <w:r w:rsidRPr="00503A01">
        <w:rPr>
          <w:rFonts w:ascii="Times New Roman" w:hAnsi="Times New Roman" w:cs="Times New Roman"/>
          <w:i/>
          <w:iCs/>
          <w:sz w:val="24"/>
          <w:szCs w:val="24"/>
        </w:rPr>
        <w:t>Navalnyy kundër Rusisë</w:t>
      </w:r>
      <w:r w:rsidRPr="00503A01">
        <w:rPr>
          <w:rFonts w:ascii="Times New Roman" w:hAnsi="Times New Roman" w:cs="Times New Roman"/>
          <w:sz w:val="24"/>
          <w:szCs w:val="24"/>
        </w:rPr>
        <w:t xml:space="preserve"> [DhM], §§ 167–175, Gjykata vlerësoi një varg ndërhyrjesh në tërësinë e tyre, </w:t>
      </w:r>
      <w:r w:rsidRPr="00503A01">
        <w:rPr>
          <w:rFonts w:ascii="Times New Roman" w:hAnsi="Times New Roman" w:cs="Times New Roman"/>
          <w:sz w:val="24"/>
          <w:szCs w:val="24"/>
        </w:rPr>
        <w:lastRenderedPageBreak/>
        <w:t>duke konstatuar një qëllim të fshehtë të shtypjes së pluralizmit politik, në shkelje të nenit 18, të lidhur me nenet 5 dhe 11 të Konventës. Kjo jurisprudencë mbështet nevojën për të hetuar nëse ndërhyrjet policore kanë synuar vetëm ruajtjen e rendit publik apo edhe pengimin e qëllimshëm të tubimeve paqësore.</w:t>
      </w:r>
    </w:p>
    <w:p w14:paraId="021EE9EB" w14:textId="77777777" w:rsidR="00B76838" w:rsidRPr="00503A01" w:rsidRDefault="00B76838" w:rsidP="00B76838">
      <w:pPr>
        <w:spacing w:after="0" w:line="240" w:lineRule="auto"/>
        <w:jc w:val="both"/>
        <w:rPr>
          <w:rFonts w:ascii="Times New Roman" w:hAnsi="Times New Roman" w:cs="Times New Roman"/>
          <w:sz w:val="24"/>
          <w:szCs w:val="24"/>
        </w:rPr>
      </w:pPr>
    </w:p>
    <w:p w14:paraId="3F0C4624" w14:textId="40FB41FA" w:rsidR="00B76838" w:rsidRPr="00503A01" w:rsidRDefault="00B76838" w:rsidP="00B7683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Për rrjedhojë, duhet të përcaktohet </w:t>
      </w:r>
      <w:r w:rsidRPr="00503A01">
        <w:rPr>
          <w:rFonts w:ascii="Times New Roman" w:hAnsi="Times New Roman" w:cs="Times New Roman"/>
          <w:b/>
          <w:bCs/>
          <w:i/>
          <w:sz w:val="24"/>
          <w:szCs w:val="24"/>
        </w:rPr>
        <w:t>nëse praktikat e denoncuara kanë qenë shkelje të izoluara apo pjesë e një veprimtarie të organizuar për garantimin e pandëshkueshmërisë dhe pengimin e lirisë së tubimit</w:t>
      </w:r>
      <w:r w:rsidRPr="00503A01">
        <w:rPr>
          <w:rFonts w:ascii="Times New Roman" w:hAnsi="Times New Roman" w:cs="Times New Roman"/>
          <w:sz w:val="24"/>
          <w:szCs w:val="24"/>
        </w:rPr>
        <w:t>, duke individualizuar rolin e secilit person në urdhërimin, organizimin, nxitjen ose ndihmën për kryerjen e veprave. Zbatimi eventual i nenit 261 nuk përjashton hetimin e veprave të tjera për fakte materialisht të dallueshme, duke respektuar karakterin subsidiar të nenit 248 dhe rregullat e konkurrimit të veprave penale.</w:t>
      </w:r>
    </w:p>
    <w:p w14:paraId="56572B84" w14:textId="77777777" w:rsidR="00485AF1" w:rsidRPr="00503A01" w:rsidRDefault="00485AF1" w:rsidP="00A85398">
      <w:pPr>
        <w:spacing w:after="0" w:line="240" w:lineRule="auto"/>
        <w:jc w:val="both"/>
        <w:rPr>
          <w:rFonts w:ascii="Times New Roman" w:hAnsi="Times New Roman" w:cs="Times New Roman"/>
          <w:sz w:val="24"/>
          <w:szCs w:val="24"/>
        </w:rPr>
      </w:pPr>
    </w:p>
    <w:p w14:paraId="0ABFB405" w14:textId="20DDC2E4" w:rsidR="00650CD8" w:rsidRPr="00503A01" w:rsidRDefault="00650CD8" w:rsidP="00650CD8">
      <w:pPr>
        <w:pStyle w:val="ListParagraph"/>
        <w:numPr>
          <w:ilvl w:val="0"/>
          <w:numId w:val="2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 xml:space="preserve">Mosmarrja e masave për të ndërprerë gjendjen e paligjshme </w:t>
      </w:r>
      <w:r w:rsidRPr="00503A01">
        <w:rPr>
          <w:rFonts w:ascii="Times New Roman" w:hAnsi="Times New Roman" w:cs="Times New Roman"/>
          <w:b/>
          <w:bCs/>
          <w:sz w:val="24"/>
          <w:szCs w:val="24"/>
        </w:rPr>
        <w:t>-</w:t>
      </w:r>
      <w:r w:rsidRPr="00503A01">
        <w:rPr>
          <w:rFonts w:ascii="Times New Roman" w:hAnsi="Times New Roman" w:cs="Times New Roman"/>
          <w:b/>
          <w:bCs/>
          <w:sz w:val="24"/>
          <w:szCs w:val="24"/>
        </w:rPr>
        <w:t xml:space="preserve"> neni 251 i Kodit Penal</w:t>
      </w:r>
    </w:p>
    <w:p w14:paraId="0A9B3976" w14:textId="77777777" w:rsidR="00650CD8" w:rsidRPr="00503A01" w:rsidRDefault="00650CD8" w:rsidP="00650CD8">
      <w:pPr>
        <w:pStyle w:val="ListParagraph"/>
        <w:spacing w:after="0" w:line="240" w:lineRule="auto"/>
        <w:jc w:val="both"/>
        <w:rPr>
          <w:rFonts w:ascii="Times New Roman" w:hAnsi="Times New Roman" w:cs="Times New Roman"/>
          <w:sz w:val="24"/>
          <w:szCs w:val="24"/>
        </w:rPr>
      </w:pPr>
    </w:p>
    <w:p w14:paraId="7769D4AB" w14:textId="0FDC6A31" w:rsidR="00650CD8" w:rsidRPr="00503A01" w:rsidRDefault="00650CD8" w:rsidP="00650CD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Neni 251 </w:t>
      </w:r>
      <w:r w:rsidRPr="00503A01">
        <w:rPr>
          <w:rFonts w:ascii="Times New Roman" w:hAnsi="Times New Roman" w:cs="Times New Roman"/>
          <w:sz w:val="24"/>
          <w:szCs w:val="24"/>
        </w:rPr>
        <w:t xml:space="preserve">i Kodit Penal </w:t>
      </w:r>
      <w:r w:rsidRPr="00503A01">
        <w:rPr>
          <w:rFonts w:ascii="Times New Roman" w:hAnsi="Times New Roman" w:cs="Times New Roman"/>
          <w:sz w:val="24"/>
          <w:szCs w:val="24"/>
        </w:rPr>
        <w:t>parashikon përgjegjësi për funksionarin shtetëror ose personin në shërbim publik që, pasi mëson përmes detyrës për një gjendje të paligjshme të shkaktuar nga një veprim arbitrar që cenon lirinë e shtetasit, nuk ndërmerr masa për ndërprerjen e saj ose nuk ia kërkon këtë autoritetit kompetent. Në rastin konkret, kërkohet shqyrtimi i kësaj përgjegjësie veçanërisht për vijimin e shoqërimeve, ndalimeve dhe kufizimeve të tjera të pretenduara si arbitrare të lirisë, pas marrjes së dijenisë nga personat përgjegjës.</w:t>
      </w:r>
    </w:p>
    <w:p w14:paraId="2DC8E02F" w14:textId="77777777" w:rsidR="00650CD8" w:rsidRPr="00503A01" w:rsidRDefault="00650CD8" w:rsidP="00650CD8">
      <w:pPr>
        <w:spacing w:after="0" w:line="240" w:lineRule="auto"/>
        <w:jc w:val="both"/>
        <w:rPr>
          <w:rFonts w:ascii="Times New Roman" w:hAnsi="Times New Roman" w:cs="Times New Roman"/>
          <w:sz w:val="24"/>
          <w:szCs w:val="24"/>
        </w:rPr>
      </w:pPr>
    </w:p>
    <w:p w14:paraId="32108E72" w14:textId="0D6DF51D" w:rsidR="00650CD8" w:rsidRPr="00503A01" w:rsidRDefault="00650CD8" w:rsidP="00650CD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Për Drejtorin e Përgjithshëm Skënder Hita, Drejtorin e Policisë së Tiranës Oliger Torba dhe drejtuesit e tjerë përkatës, duhet të përcaktohen gjendjet konkrete për të cilat kanë marrë dijeni, koha dhe mënyra e njoftimit, detyrimet dhe mundësitë reale për ndërhyrje, si dhe masat e marra ose kërkesat drejtuar personave kompetentë. </w:t>
      </w:r>
    </w:p>
    <w:p w14:paraId="43A78A35" w14:textId="77777777" w:rsidR="00650CD8" w:rsidRPr="00503A01" w:rsidRDefault="00650CD8" w:rsidP="00650CD8">
      <w:pPr>
        <w:spacing w:after="0" w:line="240" w:lineRule="auto"/>
        <w:jc w:val="both"/>
        <w:rPr>
          <w:rFonts w:ascii="Times New Roman" w:hAnsi="Times New Roman" w:cs="Times New Roman"/>
          <w:sz w:val="24"/>
          <w:szCs w:val="24"/>
        </w:rPr>
      </w:pPr>
    </w:p>
    <w:p w14:paraId="40357BAA" w14:textId="0E4D399A" w:rsidR="00650CD8" w:rsidRPr="00503A01" w:rsidRDefault="00650CD8" w:rsidP="00650CD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Për këtë qëllim, kërkohet administrimi i planeve të masave për operacionet përkatëse, ndryshimeve të tyre pas konstatimit të shkeljeve, urdhrave të dhënë gjatë ndërhyrjeve dhe dokumentacionit mbi zbatimin e tyre. Nëse këto dokumente mungojnë, duhet të verifikohen arsyet dhe personat përgjegjës. Mangësitë në planifikim ose kontroll duhet të vlerësohen në lidhje me vijimin e gjendjeve konkrete të paligjshme dhe mosveprimet individuale, për të përcaktuar nëse plotësohen elementet e nenit 251.</w:t>
      </w:r>
    </w:p>
    <w:p w14:paraId="758CCC60" w14:textId="77777777" w:rsidR="00650CD8" w:rsidRPr="00503A01" w:rsidRDefault="00650CD8" w:rsidP="00A85398">
      <w:pPr>
        <w:spacing w:after="0" w:line="240" w:lineRule="auto"/>
        <w:jc w:val="both"/>
        <w:rPr>
          <w:rFonts w:ascii="Times New Roman" w:hAnsi="Times New Roman" w:cs="Times New Roman"/>
          <w:sz w:val="24"/>
          <w:szCs w:val="24"/>
        </w:rPr>
      </w:pPr>
    </w:p>
    <w:p w14:paraId="6D11F911" w14:textId="438B1858" w:rsidR="002E774C" w:rsidRPr="00503A01" w:rsidRDefault="00EF7B58" w:rsidP="002E774C">
      <w:pPr>
        <w:pStyle w:val="ListParagraph"/>
        <w:numPr>
          <w:ilvl w:val="0"/>
          <w:numId w:val="24"/>
        </w:numPr>
        <w:spacing w:after="0" w:line="240" w:lineRule="auto"/>
        <w:jc w:val="both"/>
        <w:rPr>
          <w:rFonts w:ascii="Times New Roman" w:hAnsi="Times New Roman" w:cs="Times New Roman"/>
          <w:b/>
          <w:sz w:val="24"/>
          <w:szCs w:val="24"/>
        </w:rPr>
      </w:pPr>
      <w:r w:rsidRPr="00503A01">
        <w:rPr>
          <w:rFonts w:ascii="Times New Roman" w:hAnsi="Times New Roman" w:cs="Times New Roman"/>
          <w:b/>
          <w:bCs/>
          <w:sz w:val="24"/>
          <w:szCs w:val="24"/>
        </w:rPr>
        <w:t>Përdorimi i predhave kinetike ndaj kokës dhe drejt turmës: potenciali vdekjeprurës, forma e fajit dhe verifikimi i tentativës së vrasjes</w:t>
      </w:r>
    </w:p>
    <w:p w14:paraId="3188F40E" w14:textId="77777777" w:rsidR="00B17EF3" w:rsidRPr="00503A01" w:rsidRDefault="00B17EF3" w:rsidP="00B17EF3">
      <w:pPr>
        <w:pStyle w:val="ListParagraph"/>
        <w:spacing w:after="0" w:line="240" w:lineRule="auto"/>
        <w:jc w:val="both"/>
        <w:rPr>
          <w:rFonts w:ascii="Times New Roman" w:hAnsi="Times New Roman" w:cs="Times New Roman"/>
          <w:sz w:val="24"/>
          <w:szCs w:val="24"/>
        </w:rPr>
      </w:pPr>
    </w:p>
    <w:p w14:paraId="7A116DEE" w14:textId="77777777" w:rsidR="00EF7B58" w:rsidRPr="00503A01" w:rsidRDefault="00EF7B58" w:rsidP="00EF7B5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Në lidhje me episodet e përdorimit të predhave kinetike, kërkohet të hetohet nëse efektivët kanë shënjestruar kokën e personave ose kanë qëlluar drejt turmës në lartësinë e kokës, në rrethana që mund të shkaktonin vdekjen. Hetimi duhet të individualizojë episodet, personat e rrezikuar dhe autorët, duke përcaktuar karakteristikat e municionit, distancën, drejtimin dhe përsëritjen e qitjeve, pjesën e trupit të shënjestruar dhe atë të goditur, si dhe sjelljen e personave ndaj të cilëve është përdorur forca.</w:t>
      </w:r>
    </w:p>
    <w:p w14:paraId="1699E06E" w14:textId="77777777" w:rsidR="00EF7B58" w:rsidRPr="00503A01" w:rsidRDefault="00EF7B58" w:rsidP="00EF7B58">
      <w:pPr>
        <w:spacing w:after="0" w:line="240" w:lineRule="auto"/>
        <w:jc w:val="both"/>
        <w:rPr>
          <w:rFonts w:ascii="Times New Roman" w:hAnsi="Times New Roman" w:cs="Times New Roman"/>
          <w:sz w:val="24"/>
          <w:szCs w:val="24"/>
        </w:rPr>
      </w:pPr>
    </w:p>
    <w:p w14:paraId="09B32CF7" w14:textId="149202C5" w:rsidR="00EF7B58" w:rsidRPr="00503A01" w:rsidRDefault="00EF7B58" w:rsidP="00EF7B5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Klasifikimi i këtyre mjeteve si “më pak vdekjeprurëse” nuk përjashton aftësinë e tyre për të shkaktuar vdekjen. Udhëzimi i Kombeve të Bashkuara mbi armët më pak vdekjeprurëse evidenton se goditjet në kokë mund të shkaktojnë fraktura të kafkës, dëmtime të trurit dhe vdekje, ndërsa parashikon që predhat kinetike të mos shënjestrojnë kokën, fytyrën ose qafën. </w:t>
      </w:r>
      <w:r w:rsidRPr="00503A01">
        <w:rPr>
          <w:rFonts w:ascii="Times New Roman" w:hAnsi="Times New Roman" w:cs="Times New Roman"/>
          <w:sz w:val="24"/>
          <w:szCs w:val="24"/>
        </w:rPr>
        <w:lastRenderedPageBreak/>
        <w:t xml:space="preserve">Këto standarde kanë rëndësi për vlerësimin e mënyrës së përdorimit dhe të informacionit që efektivët </w:t>
      </w:r>
      <w:r w:rsidR="00E1128C" w:rsidRPr="00503A01">
        <w:rPr>
          <w:rFonts w:ascii="Times New Roman" w:hAnsi="Times New Roman" w:cs="Times New Roman"/>
          <w:sz w:val="24"/>
          <w:szCs w:val="24"/>
        </w:rPr>
        <w:t>kan</w:t>
      </w:r>
      <w:r w:rsidR="005B79B4" w:rsidRPr="00503A01">
        <w:rPr>
          <w:rFonts w:ascii="Times New Roman" w:hAnsi="Times New Roman" w:cs="Times New Roman"/>
          <w:sz w:val="24"/>
          <w:szCs w:val="24"/>
        </w:rPr>
        <w:t>ë</w:t>
      </w:r>
      <w:r w:rsidRPr="00503A01">
        <w:rPr>
          <w:rFonts w:ascii="Times New Roman" w:hAnsi="Times New Roman" w:cs="Times New Roman"/>
          <w:sz w:val="24"/>
          <w:szCs w:val="24"/>
        </w:rPr>
        <w:t xml:space="preserve"> marrë gjatë trajnimit.</w:t>
      </w:r>
      <w:r w:rsidR="00C95434" w:rsidRPr="00503A01">
        <w:rPr>
          <w:rStyle w:val="FootnoteReference"/>
          <w:rFonts w:ascii="Times New Roman" w:hAnsi="Times New Roman" w:cs="Times New Roman"/>
          <w:sz w:val="24"/>
          <w:szCs w:val="24"/>
        </w:rPr>
        <w:footnoteReference w:id="22"/>
      </w:r>
      <w:r w:rsidRPr="00503A01">
        <w:rPr>
          <w:rFonts w:ascii="Times New Roman" w:hAnsi="Times New Roman" w:cs="Times New Roman"/>
          <w:sz w:val="24"/>
          <w:szCs w:val="24"/>
        </w:rPr>
        <w:t xml:space="preserve"> </w:t>
      </w:r>
    </w:p>
    <w:p w14:paraId="6831DFD9" w14:textId="77777777" w:rsidR="00E1128C" w:rsidRPr="00503A01" w:rsidRDefault="00E1128C" w:rsidP="00EF7B58">
      <w:pPr>
        <w:spacing w:after="0" w:line="240" w:lineRule="auto"/>
        <w:jc w:val="both"/>
        <w:rPr>
          <w:rFonts w:ascii="Times New Roman" w:hAnsi="Times New Roman" w:cs="Times New Roman"/>
          <w:sz w:val="24"/>
          <w:szCs w:val="24"/>
        </w:rPr>
      </w:pPr>
    </w:p>
    <w:p w14:paraId="39D0A99E" w14:textId="2E299C79" w:rsidR="00EF7B58" w:rsidRPr="00503A01" w:rsidRDefault="00EF7B58" w:rsidP="00EF7B5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Potenciali vdekjeprurës është dokumentuar edhe gjatë protestës së 10 shkurtit 2007 në Prishtinë</w:t>
      </w:r>
      <w:r w:rsidR="00EF5C69" w:rsidRPr="00503A01">
        <w:rPr>
          <w:rFonts w:ascii="Times New Roman" w:hAnsi="Times New Roman" w:cs="Times New Roman"/>
          <w:sz w:val="24"/>
          <w:szCs w:val="24"/>
        </w:rPr>
        <w:t>, Kosov</w:t>
      </w:r>
      <w:r w:rsidR="005B79B4" w:rsidRPr="00503A01">
        <w:rPr>
          <w:rFonts w:ascii="Times New Roman" w:hAnsi="Times New Roman" w:cs="Times New Roman"/>
          <w:sz w:val="24"/>
          <w:szCs w:val="24"/>
        </w:rPr>
        <w:t>ë</w:t>
      </w:r>
      <w:r w:rsidRPr="00503A01">
        <w:rPr>
          <w:rFonts w:ascii="Times New Roman" w:hAnsi="Times New Roman" w:cs="Times New Roman"/>
          <w:sz w:val="24"/>
          <w:szCs w:val="24"/>
        </w:rPr>
        <w:t xml:space="preserve">. </w:t>
      </w:r>
      <w:r w:rsidR="00EF5C69" w:rsidRPr="00503A01">
        <w:rPr>
          <w:rFonts w:ascii="Times New Roman" w:hAnsi="Times New Roman" w:cs="Times New Roman"/>
          <w:sz w:val="24"/>
          <w:szCs w:val="24"/>
        </w:rPr>
        <w:t xml:space="preserve">Dy persona, </w:t>
      </w:r>
      <w:r w:rsidRPr="00503A01">
        <w:rPr>
          <w:rFonts w:ascii="Times New Roman" w:hAnsi="Times New Roman" w:cs="Times New Roman"/>
          <w:sz w:val="24"/>
          <w:szCs w:val="24"/>
        </w:rPr>
        <w:t xml:space="preserve">Mon Balaj dhe Arben Xheladini vdiqën nga goditjet në kokë me plumba gome të tipit RB1, të përdorur nga policia e UNMIK. Në mendimin e datës 27 shkurt 2015, në çështjen </w:t>
      </w:r>
      <w:r w:rsidRPr="00503A01">
        <w:rPr>
          <w:rFonts w:ascii="Times New Roman" w:hAnsi="Times New Roman" w:cs="Times New Roman"/>
          <w:i/>
          <w:iCs/>
          <w:sz w:val="24"/>
          <w:szCs w:val="24"/>
        </w:rPr>
        <w:t>Balaj dhe të tjerë kundër UNMIK</w:t>
      </w:r>
      <w:r w:rsidRPr="00503A01">
        <w:rPr>
          <w:rFonts w:ascii="Times New Roman" w:hAnsi="Times New Roman" w:cs="Times New Roman"/>
          <w:sz w:val="24"/>
          <w:szCs w:val="24"/>
        </w:rPr>
        <w:t>, nr. 04/07, Paneli Këshillëdhënës për të Drejtat e Njeriut pasqyroi gjetjet mbi këto dëmtime dhe evidentoi përdorimin pa dallim të predhave ndaj turmës, si dhe shënjestrimin e disa pjesëmarrësve që nuk paraqisnin rrezik. Ky rast dokumenton pasojat që mund të sjellë një përdorim i tillë.</w:t>
      </w:r>
      <w:r w:rsidR="007F3B5B" w:rsidRPr="00503A01">
        <w:rPr>
          <w:rStyle w:val="FootnoteReference"/>
          <w:rFonts w:ascii="Times New Roman" w:hAnsi="Times New Roman" w:cs="Times New Roman"/>
          <w:sz w:val="24"/>
          <w:szCs w:val="24"/>
        </w:rPr>
        <w:footnoteReference w:id="23"/>
      </w:r>
      <w:r w:rsidRPr="00503A01">
        <w:rPr>
          <w:rFonts w:ascii="Times New Roman" w:hAnsi="Times New Roman" w:cs="Times New Roman"/>
          <w:sz w:val="24"/>
          <w:szCs w:val="24"/>
        </w:rPr>
        <w:t xml:space="preserve"> </w:t>
      </w:r>
    </w:p>
    <w:p w14:paraId="4E33CF8F" w14:textId="77777777" w:rsidR="002131E1" w:rsidRPr="00503A01" w:rsidRDefault="002131E1" w:rsidP="00EF7B58">
      <w:pPr>
        <w:spacing w:after="0" w:line="240" w:lineRule="auto"/>
        <w:jc w:val="both"/>
        <w:rPr>
          <w:rFonts w:ascii="Times New Roman" w:hAnsi="Times New Roman" w:cs="Times New Roman"/>
          <w:sz w:val="24"/>
          <w:szCs w:val="24"/>
        </w:rPr>
      </w:pPr>
    </w:p>
    <w:p w14:paraId="1507DA7B" w14:textId="64B4E643" w:rsidR="00EF7B58" w:rsidRPr="00503A01" w:rsidRDefault="00EF7B58" w:rsidP="00EF7B5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Për përcaktimin e formës së fajit, kërkohet të verifikohet nëse autorët kanë synuar shkaktimin e vdekjes ose, duke e parashikuar atë si pasojë të mundshme të qitjeve, e kanë lejuar me ndërgjegje ardhjen e saj, në kuptim të nenit 15 të Kodit Penal. Kjo e fundit duhet dalluar nga pakujdesia sipas nenit 16</w:t>
      </w:r>
      <w:r w:rsidR="00DA5212" w:rsidRPr="00503A01">
        <w:rPr>
          <w:rFonts w:ascii="Times New Roman" w:hAnsi="Times New Roman" w:cs="Times New Roman"/>
          <w:sz w:val="24"/>
          <w:szCs w:val="24"/>
        </w:rPr>
        <w:t xml:space="preserve"> t</w:t>
      </w:r>
      <w:r w:rsidR="005B79B4" w:rsidRPr="00503A01">
        <w:rPr>
          <w:rFonts w:ascii="Times New Roman" w:hAnsi="Times New Roman" w:cs="Times New Roman"/>
          <w:sz w:val="24"/>
          <w:szCs w:val="24"/>
        </w:rPr>
        <w:t>ë</w:t>
      </w:r>
      <w:r w:rsidR="00DA5212" w:rsidRPr="00503A01">
        <w:rPr>
          <w:rFonts w:ascii="Times New Roman" w:hAnsi="Times New Roman" w:cs="Times New Roman"/>
          <w:sz w:val="24"/>
          <w:szCs w:val="24"/>
        </w:rPr>
        <w:t xml:space="preserve"> Kodit Penal.</w:t>
      </w:r>
      <w:r w:rsidRPr="00503A01">
        <w:rPr>
          <w:rFonts w:ascii="Times New Roman" w:hAnsi="Times New Roman" w:cs="Times New Roman"/>
          <w:sz w:val="24"/>
          <w:szCs w:val="24"/>
        </w:rPr>
        <w:t xml:space="preserve"> Vlerësimi duhet të mbështetet në tërësinë e rrethanave, përfshirë trajnimin, paralajmërimet teknike, mënyrën e shënjestrimit, përsëritjen e qitjeve dhe reagimin </w:t>
      </w:r>
      <w:r w:rsidR="00DA5212" w:rsidRPr="00503A01">
        <w:rPr>
          <w:rFonts w:ascii="Times New Roman" w:hAnsi="Times New Roman" w:cs="Times New Roman"/>
          <w:sz w:val="24"/>
          <w:szCs w:val="24"/>
        </w:rPr>
        <w:t xml:space="preserve">e drejtuesve </w:t>
      </w:r>
      <w:r w:rsidRPr="00503A01">
        <w:rPr>
          <w:rFonts w:ascii="Times New Roman" w:hAnsi="Times New Roman" w:cs="Times New Roman"/>
          <w:sz w:val="24"/>
          <w:szCs w:val="24"/>
        </w:rPr>
        <w:t xml:space="preserve">pas konstatimit të dëmtimeve. </w:t>
      </w:r>
    </w:p>
    <w:p w14:paraId="574A6DE5" w14:textId="77777777" w:rsidR="00DA5212" w:rsidRPr="00503A01" w:rsidRDefault="00DA5212" w:rsidP="00EF7B58">
      <w:pPr>
        <w:spacing w:after="0" w:line="240" w:lineRule="auto"/>
        <w:jc w:val="both"/>
        <w:rPr>
          <w:rFonts w:ascii="Times New Roman" w:hAnsi="Times New Roman" w:cs="Times New Roman"/>
          <w:sz w:val="24"/>
          <w:szCs w:val="24"/>
        </w:rPr>
      </w:pPr>
    </w:p>
    <w:p w14:paraId="6955707B" w14:textId="5466049F" w:rsidR="00EF7B58" w:rsidRPr="00503A01" w:rsidRDefault="00EF7B58" w:rsidP="00EF7B5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Kërkohet që këto fakte të shqyrtohen për zbatimin e nenit 76 në lidhje me nenin 22 të Kodit Penal, duke verifikuar veprimet e drejtpërdrejta për kryerjen e vrasjes dhe shkaqet e pavarura nga vullneti i autorit për të cilat vdekja nuk ka ardhur. </w:t>
      </w:r>
    </w:p>
    <w:p w14:paraId="4CC87E11" w14:textId="77777777" w:rsidR="00DA5212" w:rsidRPr="00503A01" w:rsidRDefault="00DA5212" w:rsidP="00EF7B58">
      <w:pPr>
        <w:spacing w:after="0" w:line="240" w:lineRule="auto"/>
        <w:jc w:val="both"/>
        <w:rPr>
          <w:rFonts w:ascii="Times New Roman" w:hAnsi="Times New Roman" w:cs="Times New Roman"/>
          <w:sz w:val="24"/>
          <w:szCs w:val="24"/>
        </w:rPr>
      </w:pPr>
    </w:p>
    <w:p w14:paraId="0DC909AF" w14:textId="68CC2B57" w:rsidR="00EF7B58" w:rsidRPr="00503A01" w:rsidRDefault="00EF7B58" w:rsidP="00EF7B58">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Për drejtuesit, kërkohet të përcaktohet nëse kanë urdhëruar, nxitur ose ndihmuar përdorimin konkret të predhave në mënyrën e përshkruar, çfarë informacioni kanë marrë gjatë operacionit dhe çfarë masash kanë marrë pas tij. Për mosveprimet duhet të identifikohen detyrimi ligjor, mundësia reale për ndërhyrje, lidhja me episodet dhe forma e fajit. </w:t>
      </w:r>
    </w:p>
    <w:p w14:paraId="40B2F560" w14:textId="77777777" w:rsidR="002E774C" w:rsidRPr="00503A01" w:rsidRDefault="002E774C" w:rsidP="00A85398">
      <w:pPr>
        <w:spacing w:after="0" w:line="240" w:lineRule="auto"/>
        <w:jc w:val="both"/>
        <w:rPr>
          <w:rFonts w:ascii="Times New Roman" w:hAnsi="Times New Roman" w:cs="Times New Roman"/>
          <w:sz w:val="24"/>
          <w:szCs w:val="24"/>
        </w:rPr>
      </w:pPr>
    </w:p>
    <w:p w14:paraId="03238C93" w14:textId="34658FD0" w:rsidR="00A85398" w:rsidRPr="00503A01" w:rsidRDefault="00BA5B8F" w:rsidP="00FE0A0F">
      <w:pPr>
        <w:pStyle w:val="ListParagraph"/>
        <w:numPr>
          <w:ilvl w:val="0"/>
          <w:numId w:val="2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Përgjegjësia e mundshme penale e drejtuesve të Policisë së Shtetit dhe autoriteteve të tjera qendrore</w:t>
      </w:r>
    </w:p>
    <w:p w14:paraId="41891250" w14:textId="77777777" w:rsidR="00107E87" w:rsidRPr="00503A01" w:rsidRDefault="00107E87" w:rsidP="00107E87">
      <w:pPr>
        <w:pStyle w:val="ListParagraph"/>
        <w:spacing w:after="0" w:line="240" w:lineRule="auto"/>
        <w:jc w:val="both"/>
        <w:rPr>
          <w:rFonts w:ascii="Times New Roman" w:hAnsi="Times New Roman" w:cs="Times New Roman"/>
          <w:b/>
          <w:bCs/>
          <w:sz w:val="24"/>
          <w:szCs w:val="24"/>
        </w:rPr>
      </w:pPr>
    </w:p>
    <w:p w14:paraId="5684CA4B" w14:textId="77777777" w:rsidR="00BA5B8F" w:rsidRPr="00503A01" w:rsidRDefault="00BA5B8F" w:rsidP="00BA5B8F">
      <w:pPr>
        <w:spacing w:after="0" w:line="240" w:lineRule="auto"/>
        <w:jc w:val="both"/>
        <w:rPr>
          <w:rFonts w:ascii="Times New Roman" w:hAnsi="Times New Roman" w:cs="Times New Roman"/>
          <w:sz w:val="24"/>
          <w:szCs w:val="24"/>
        </w:rPr>
      </w:pPr>
      <w:r w:rsidRPr="00503A01">
        <w:rPr>
          <w:rFonts w:ascii="Times New Roman" w:hAnsi="Times New Roman" w:cs="Times New Roman"/>
          <w:b/>
          <w:bCs/>
          <w:sz w:val="24"/>
          <w:szCs w:val="24"/>
        </w:rPr>
        <w:t>Drejtori i Përgjithshëm Skënder Hita.</w:t>
      </w:r>
      <w:r w:rsidRPr="00503A01">
        <w:rPr>
          <w:rFonts w:ascii="Times New Roman" w:hAnsi="Times New Roman" w:cs="Times New Roman"/>
          <w:sz w:val="24"/>
          <w:szCs w:val="24"/>
        </w:rPr>
        <w:t xml:space="preserve"> Sipas nenit 55 të ligjit nr. 82/2024, Drejtori i Përgjithshëm organizon, drejton dhe kontrollon veprimtarinë policore, miraton procedurat operative dhe siguron mbështetjen logjistike, ndërsa neni 10, pika 5, i ngarkon miratimin e procedurave për identifikimin e efektivëve. Për këtë arsye, duhet të hetohet nëse procedurat e miratuara garantonin identifikimin e punonjësve të maskuar, përmes shenjave individuale dhe dokumentacionit operacional, si dhe çfarë kontrolli është ushtruar mbi zbatimin e tyre. Rëndësi kanë dijenia e tij për shkeljet, pezullimi i shtatë efektivëve dhe incidenti i raportuar nga ECPMF, ku gazetarët pretendohet se janë penguar nga persona të maskuar në praninë e tij. </w:t>
      </w:r>
      <w:r w:rsidRPr="00503A01">
        <w:rPr>
          <w:rFonts w:ascii="Times New Roman" w:hAnsi="Times New Roman" w:cs="Times New Roman"/>
          <w:b/>
          <w:bCs/>
          <w:i/>
          <w:sz w:val="24"/>
          <w:szCs w:val="24"/>
        </w:rPr>
        <w:t>Nëse provohet se ka lejuar me vetëdije vijimin e praktikave të kundërligjshme për të penguar identifikimin dhe ndjekjen penale të autorëve, duhet të vlerësohet përgjegjësia e tij sipas nenit 248 të Kodit Penal.</w:t>
      </w:r>
    </w:p>
    <w:p w14:paraId="52B59573" w14:textId="77777777" w:rsidR="009C6194" w:rsidRPr="00503A01" w:rsidRDefault="009C6194" w:rsidP="00BA5B8F">
      <w:pPr>
        <w:spacing w:after="0" w:line="240" w:lineRule="auto"/>
        <w:jc w:val="both"/>
        <w:rPr>
          <w:rFonts w:ascii="Times New Roman" w:hAnsi="Times New Roman" w:cs="Times New Roman"/>
          <w:b/>
          <w:bCs/>
          <w:sz w:val="24"/>
          <w:szCs w:val="24"/>
        </w:rPr>
      </w:pPr>
    </w:p>
    <w:p w14:paraId="3F5171D1" w14:textId="040519A6" w:rsidR="00BA5B8F" w:rsidRPr="00503A01" w:rsidRDefault="00BA5B8F" w:rsidP="00BA5B8F">
      <w:pPr>
        <w:spacing w:after="0" w:line="240" w:lineRule="auto"/>
        <w:jc w:val="both"/>
        <w:rPr>
          <w:rFonts w:ascii="Times New Roman" w:hAnsi="Times New Roman" w:cs="Times New Roman"/>
          <w:sz w:val="24"/>
          <w:szCs w:val="24"/>
        </w:rPr>
      </w:pPr>
      <w:r w:rsidRPr="00503A01">
        <w:rPr>
          <w:rFonts w:ascii="Times New Roman" w:hAnsi="Times New Roman" w:cs="Times New Roman"/>
          <w:b/>
          <w:bCs/>
          <w:sz w:val="24"/>
          <w:szCs w:val="24"/>
        </w:rPr>
        <w:t>Drejtuesit vendorë dhe të njësive të posaçme.</w:t>
      </w:r>
      <w:r w:rsidRPr="00503A01">
        <w:rPr>
          <w:rFonts w:ascii="Times New Roman" w:hAnsi="Times New Roman" w:cs="Times New Roman"/>
          <w:sz w:val="24"/>
          <w:szCs w:val="24"/>
        </w:rPr>
        <w:t xml:space="preserve"> Për Drejtorin e Policisë së Tiranës, Oliger Torba, drejtuesit e Forcës Kombëtare të Sigurisë, njësive “Shqiponja”, strukturave operacionale dhe të policisë kriminale, si dhe drejtuesit vendorë në qytetet e tjera, duhet të përcaktohen kompetencat konkrete për planifikimin e operacioneve, dislokimin e efektivëve, kontrollin e </w:t>
      </w:r>
      <w:r w:rsidRPr="00503A01">
        <w:rPr>
          <w:rFonts w:ascii="Times New Roman" w:hAnsi="Times New Roman" w:cs="Times New Roman"/>
          <w:sz w:val="24"/>
          <w:szCs w:val="24"/>
        </w:rPr>
        <w:lastRenderedPageBreak/>
        <w:t>identifikuesve, kufizimin e filmimeve dhe ruajtjen e provave. Duhet të verifikohet nëse kanë marrë dijeni për shkeljet, çfarë urdhrash kanë dhënë ose marrë dhe nëse kanë lejuar me dashje vazhdimin e praktikave të paligjshme. Krahasimi i urdhrave dhe procedurave në njësi e territore të ndryshme duhet të përcaktojë nëse ngjashmëritë burojnë nga vendimmarrje të pavarura apo nga një koordinim i përbashkët.</w:t>
      </w:r>
    </w:p>
    <w:p w14:paraId="1653021E" w14:textId="77777777" w:rsidR="009C6194" w:rsidRPr="00503A01" w:rsidRDefault="009C6194" w:rsidP="00BA5B8F">
      <w:pPr>
        <w:spacing w:after="0" w:line="240" w:lineRule="auto"/>
        <w:jc w:val="both"/>
        <w:rPr>
          <w:rFonts w:ascii="Times New Roman" w:hAnsi="Times New Roman" w:cs="Times New Roman"/>
          <w:b/>
          <w:bCs/>
          <w:sz w:val="24"/>
          <w:szCs w:val="24"/>
        </w:rPr>
      </w:pPr>
    </w:p>
    <w:p w14:paraId="32883F36" w14:textId="1B3333B2" w:rsidR="00BA5B8F" w:rsidRPr="00503A01" w:rsidRDefault="00BA5B8F" w:rsidP="00BA5B8F">
      <w:pPr>
        <w:spacing w:after="0" w:line="240" w:lineRule="auto"/>
        <w:jc w:val="both"/>
        <w:rPr>
          <w:rFonts w:ascii="Times New Roman" w:hAnsi="Times New Roman" w:cs="Times New Roman"/>
          <w:sz w:val="24"/>
          <w:szCs w:val="24"/>
        </w:rPr>
      </w:pPr>
      <w:r w:rsidRPr="00503A01">
        <w:rPr>
          <w:rFonts w:ascii="Times New Roman" w:hAnsi="Times New Roman" w:cs="Times New Roman"/>
          <w:b/>
          <w:bCs/>
          <w:sz w:val="24"/>
          <w:szCs w:val="24"/>
        </w:rPr>
        <w:t>Ministri i Punëve të Brendshme, Ervin Demo.</w:t>
      </w:r>
      <w:r w:rsidRPr="00503A01">
        <w:rPr>
          <w:rFonts w:ascii="Times New Roman" w:hAnsi="Times New Roman" w:cs="Times New Roman"/>
          <w:sz w:val="24"/>
          <w:szCs w:val="24"/>
        </w:rPr>
        <w:t xml:space="preserve"> Sipas nenit 54 të ligjit nr. 82/2024, ministri përcakton politikat e sigurisë dhe ushtron kontroll administrativ, pa ndërhyrë në drejtimin operacional të policisë. Më 16.10.2026, ai pranoi publikisht dijeninë për dy raste të tejkalimit të kompetencave dhe kërkimin e masave ndaj efektivëve përgjegjës. Hetimi duhet të përcaktojë nëse është njohur edhe me problematikat sistemike të mosidentifikimit dhe pengimit të dokumentimit, nëse ka ushtruar kompetencat përkatëse të kontrollit dhe nëse ka kontribuar eventualisht, përmes veprimeve, mosveprimeve ose ndërhyrjeve jashtë kompetencave ligjore, në ruajtjen e mekanizmit të dyshuar të pandëshkueshmërisë.</w:t>
      </w:r>
    </w:p>
    <w:p w14:paraId="4C7284C7" w14:textId="77777777" w:rsidR="009C6194" w:rsidRPr="00503A01" w:rsidRDefault="009C6194" w:rsidP="00BA5B8F">
      <w:pPr>
        <w:spacing w:after="0" w:line="240" w:lineRule="auto"/>
        <w:jc w:val="both"/>
        <w:rPr>
          <w:rFonts w:ascii="Times New Roman" w:hAnsi="Times New Roman" w:cs="Times New Roman"/>
          <w:b/>
          <w:bCs/>
          <w:sz w:val="24"/>
          <w:szCs w:val="24"/>
        </w:rPr>
      </w:pPr>
    </w:p>
    <w:p w14:paraId="2FEDBDC1" w14:textId="0984F332" w:rsidR="00BA5B8F" w:rsidRPr="00503A01" w:rsidRDefault="00BA5B8F" w:rsidP="00BA5B8F">
      <w:pPr>
        <w:spacing w:after="0" w:line="240" w:lineRule="auto"/>
        <w:jc w:val="both"/>
        <w:rPr>
          <w:rFonts w:ascii="Times New Roman" w:hAnsi="Times New Roman" w:cs="Times New Roman"/>
          <w:sz w:val="24"/>
          <w:szCs w:val="24"/>
        </w:rPr>
      </w:pPr>
      <w:r w:rsidRPr="00503A01">
        <w:rPr>
          <w:rFonts w:ascii="Times New Roman" w:hAnsi="Times New Roman" w:cs="Times New Roman"/>
          <w:b/>
          <w:bCs/>
          <w:sz w:val="24"/>
          <w:szCs w:val="24"/>
        </w:rPr>
        <w:t>Kryeministri Edi Rama.</w:t>
      </w:r>
      <w:r w:rsidRPr="00503A01">
        <w:rPr>
          <w:rFonts w:ascii="Times New Roman" w:hAnsi="Times New Roman" w:cs="Times New Roman"/>
          <w:sz w:val="24"/>
          <w:szCs w:val="24"/>
        </w:rPr>
        <w:t xml:space="preserve"> Përgjegjësia e tij duhet të shqyrtohet veçmas nga komandimi operacional i policisë, duke hetuar nëse, përmes koordinimit institucional, komunikimeve me drejtuesit policorë, udhëzimeve apo nxitjes, ka kontribuar me vetëdije në krijimin e kushteve të pandëshkueshmërisë dhe në pengimin e ushtrimit të lirisë së tubimit. Në takimin e datës 19.10.2026 me drejtuesit policorë, ai deklaroi se edhe një person që qëndron pranë protestuesve të dhunshëm mund të bëhet objekt i ndërhyrjes policore, duke përdorur formulimin </w:t>
      </w:r>
      <w:r w:rsidRPr="00503A01">
        <w:rPr>
          <w:rFonts w:ascii="Times New Roman" w:hAnsi="Times New Roman" w:cs="Times New Roman"/>
          <w:bCs/>
          <w:i/>
          <w:sz w:val="24"/>
          <w:szCs w:val="24"/>
        </w:rPr>
        <w:t>“ti je po aq shënjestër e policit sa dhe ai tjetri”</w:t>
      </w:r>
      <w:r w:rsidRPr="00503A01">
        <w:rPr>
          <w:rFonts w:ascii="Times New Roman" w:hAnsi="Times New Roman" w:cs="Times New Roman"/>
          <w:sz w:val="24"/>
          <w:szCs w:val="24"/>
        </w:rPr>
        <w:t xml:space="preserve">. Ky deklarim kërkon shqyrtim në dritën e standardit të GJEDNJ-së në çështjen </w:t>
      </w:r>
      <w:r w:rsidRPr="00503A01">
        <w:rPr>
          <w:rFonts w:ascii="Times New Roman" w:hAnsi="Times New Roman" w:cs="Times New Roman"/>
          <w:i/>
          <w:iCs/>
          <w:sz w:val="24"/>
          <w:szCs w:val="24"/>
        </w:rPr>
        <w:t>Tsaava dhe të Tjerë kundër Gjeorgjisë</w:t>
      </w:r>
      <w:r w:rsidRPr="00503A01">
        <w:rPr>
          <w:rFonts w:ascii="Times New Roman" w:hAnsi="Times New Roman" w:cs="Times New Roman"/>
          <w:sz w:val="24"/>
          <w:szCs w:val="24"/>
        </w:rPr>
        <w:t>, § 418, sipas të cilit pjesëmarrësi paqësor nuk e humbet mbrojtjen e nenit 11 për shkak të dhunës së personave të tjerë. Rëndësi kanë edhe kritikat e Kryeministrit ndaj gjykatave për lirimin e të arrestuarve në mungesë provash dhe ndaj mediave që dokumentonin dhunën policore. Duhet të hetohet nëse këto qëndrime kanë mbetur deklarime politike apo janë shoqëruar me udhëzime, komunikime ose vendimmarrje konkrete për ndërhyrje pa individualizim, përdorim të paligjshëm të forcës dhe dekurajim të pjesëmarrjes në protesta.</w:t>
      </w:r>
    </w:p>
    <w:p w14:paraId="5DB15BED" w14:textId="77777777" w:rsidR="009C6194" w:rsidRPr="00503A01" w:rsidRDefault="009C6194" w:rsidP="00BA5B8F">
      <w:pPr>
        <w:spacing w:after="0" w:line="240" w:lineRule="auto"/>
        <w:jc w:val="both"/>
        <w:rPr>
          <w:rFonts w:ascii="Times New Roman" w:hAnsi="Times New Roman" w:cs="Times New Roman"/>
          <w:sz w:val="24"/>
          <w:szCs w:val="24"/>
        </w:rPr>
      </w:pPr>
    </w:p>
    <w:p w14:paraId="4E95655C" w14:textId="605CA84C" w:rsidR="00BA5B8F" w:rsidRPr="00503A01" w:rsidRDefault="00BA5B8F" w:rsidP="00BA5B8F">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Në këtë kontekst, kërkohet edhe administrimi i vendimeve të Këshillit të Ministrave të datave </w:t>
      </w:r>
      <w:r w:rsidRPr="00503A01">
        <w:rPr>
          <w:rFonts w:ascii="Times New Roman" w:hAnsi="Times New Roman" w:cs="Times New Roman"/>
          <w:bCs/>
          <w:sz w:val="24"/>
          <w:szCs w:val="24"/>
        </w:rPr>
        <w:t>19 dhe 21.10.2026</w:t>
      </w:r>
      <w:r w:rsidRPr="00503A01">
        <w:rPr>
          <w:rFonts w:ascii="Times New Roman" w:hAnsi="Times New Roman" w:cs="Times New Roman"/>
          <w:sz w:val="24"/>
          <w:szCs w:val="24"/>
        </w:rPr>
        <w:t>, për shpërblimin me 269.120 lekë të punonjësve të policisë, ku numri i përfituesve u rrit nga 2.750 në 2.821. Listat emërore, kriteret e përfitimit dhe dokumentet përgatitore mund të ndihmojnë në identifikimin e efektivëve dhe komunikimeve institucionale, si dhe në verifikimin nëse janë përjashtuar punonjësit e dyshuar për shkelje. Vendimmarrja duhet të shqyrtohet në kontekstin e paralajmërimeve publike për pasoja financiare dhe administrative ndaj protestuesve dhe familjeve të të miturve, për të përcaktuar nëse ka ekzistuar një strategji e koordinuar dekurajimi të pjesëmarrjes në tubime.</w:t>
      </w:r>
    </w:p>
    <w:p w14:paraId="13B40AAA" w14:textId="77777777" w:rsidR="007B7BB9" w:rsidRPr="00503A01" w:rsidRDefault="007B7BB9" w:rsidP="00BA5B8F">
      <w:pPr>
        <w:spacing w:after="0" w:line="240" w:lineRule="auto"/>
        <w:jc w:val="both"/>
        <w:rPr>
          <w:rFonts w:ascii="Times New Roman" w:hAnsi="Times New Roman" w:cs="Times New Roman"/>
          <w:sz w:val="24"/>
          <w:szCs w:val="24"/>
        </w:rPr>
      </w:pPr>
    </w:p>
    <w:p w14:paraId="545E68DE" w14:textId="7FCCBB05" w:rsidR="00BA5B8F" w:rsidRPr="00503A01" w:rsidRDefault="00BA5B8F" w:rsidP="00BA5B8F">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Përgjegjësia penale e secilit prej personave të mësipërm duhet të individualizohet sipas kompetencave, dijenisë, veprimeve ose mosveprimeve, kontributit konkret dhe elementit subjektiv.</w:t>
      </w:r>
      <w:r w:rsidRPr="00503A01">
        <w:rPr>
          <w:rFonts w:ascii="Times New Roman" w:hAnsi="Times New Roman" w:cs="Times New Roman"/>
          <w:sz w:val="24"/>
          <w:szCs w:val="24"/>
        </w:rPr>
        <w:t xml:space="preserve"> Nëse provohet se kanë organizuar, urdhëruar, nxitur, ndihmuar ose lejuar me dashje praktikat e kundërligjshme, duhet të shqyrtohet përgjegjësia sipas neneve 248 dhe 261 të Kodit Penal dhe rregullave të bashkëpunimit të neneve 25</w:t>
      </w:r>
      <w:r w:rsidR="007B7BB9" w:rsidRPr="00503A01">
        <w:rPr>
          <w:rFonts w:ascii="Times New Roman" w:hAnsi="Times New Roman" w:cs="Times New Roman"/>
          <w:sz w:val="24"/>
          <w:szCs w:val="24"/>
        </w:rPr>
        <w:t>-</w:t>
      </w:r>
      <w:r w:rsidRPr="00503A01">
        <w:rPr>
          <w:rFonts w:ascii="Times New Roman" w:hAnsi="Times New Roman" w:cs="Times New Roman"/>
          <w:sz w:val="24"/>
          <w:szCs w:val="24"/>
        </w:rPr>
        <w:t>27, si dhe, nëse provohen elementet e posaçme, sipas neneve 28/4 dhe 333/a. Pozita hierarkike, dijenia apo deklaratat publike, të marra veçmas, nuk mjaftojnë për të provuar përgjegjësi penale.</w:t>
      </w:r>
    </w:p>
    <w:p w14:paraId="250D74F7" w14:textId="77777777" w:rsidR="002320B4" w:rsidRDefault="002320B4" w:rsidP="00A85398">
      <w:pPr>
        <w:spacing w:after="0" w:line="240" w:lineRule="auto"/>
        <w:jc w:val="both"/>
        <w:rPr>
          <w:rFonts w:ascii="Times New Roman" w:hAnsi="Times New Roman" w:cs="Times New Roman"/>
          <w:b/>
          <w:bCs/>
          <w:sz w:val="24"/>
          <w:szCs w:val="24"/>
        </w:rPr>
      </w:pPr>
    </w:p>
    <w:p w14:paraId="1D0E9A82" w14:textId="77777777" w:rsidR="00D05E2E" w:rsidRDefault="00D05E2E" w:rsidP="00A85398">
      <w:pPr>
        <w:spacing w:after="0" w:line="240" w:lineRule="auto"/>
        <w:jc w:val="both"/>
        <w:rPr>
          <w:rFonts w:ascii="Times New Roman" w:hAnsi="Times New Roman" w:cs="Times New Roman"/>
          <w:b/>
          <w:bCs/>
          <w:sz w:val="24"/>
          <w:szCs w:val="24"/>
        </w:rPr>
      </w:pPr>
    </w:p>
    <w:p w14:paraId="3C50D9FE" w14:textId="77777777" w:rsidR="00D05E2E" w:rsidRPr="00503A01" w:rsidRDefault="00D05E2E" w:rsidP="00A85398">
      <w:pPr>
        <w:spacing w:after="0" w:line="240" w:lineRule="auto"/>
        <w:jc w:val="both"/>
        <w:rPr>
          <w:rFonts w:ascii="Times New Roman" w:hAnsi="Times New Roman" w:cs="Times New Roman"/>
          <w:b/>
          <w:bCs/>
          <w:sz w:val="24"/>
          <w:szCs w:val="24"/>
        </w:rPr>
      </w:pPr>
    </w:p>
    <w:p w14:paraId="3BBB51CE" w14:textId="1370D510" w:rsidR="00A85398" w:rsidRPr="00503A01" w:rsidRDefault="00CE59CB" w:rsidP="00FE0A0F">
      <w:pPr>
        <w:pStyle w:val="ListParagraph"/>
        <w:numPr>
          <w:ilvl w:val="0"/>
          <w:numId w:val="2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lastRenderedPageBreak/>
        <w:t>Bashkëpunimi penal dhe grupi i strukturuar kriminal – nenet 25–28/4 dhe 333/a të Kodit Penal</w:t>
      </w:r>
    </w:p>
    <w:p w14:paraId="6BC13E76" w14:textId="77777777" w:rsidR="006C3339" w:rsidRPr="00503A01" w:rsidRDefault="006C3339" w:rsidP="006C3339">
      <w:pPr>
        <w:pStyle w:val="ListParagraph"/>
        <w:spacing w:after="0" w:line="240" w:lineRule="auto"/>
        <w:jc w:val="both"/>
        <w:rPr>
          <w:rFonts w:ascii="Times New Roman" w:hAnsi="Times New Roman" w:cs="Times New Roman"/>
          <w:b/>
          <w:bCs/>
          <w:sz w:val="24"/>
          <w:szCs w:val="24"/>
        </w:rPr>
      </w:pPr>
    </w:p>
    <w:p w14:paraId="1D5E3F0B" w14:textId="2962E8E8" w:rsidR="009C3A91" w:rsidRPr="00503A01" w:rsidRDefault="009C3A91" w:rsidP="009C3A9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Nenet 25-27 të Kodit Penal rregullojnë bashkëpunimin në kryerjen e veprave penale, duke dalluar organizatorët, ekzekutorët, shtytësit dhe ndihmësit, sipas rolit dhe kontributit të tyre. Në rastin konkret, duhet të hetohet nëse drejtues të ndryshëm kanë vepruar mbi bazën e një marrëveshjeje për të organizuar, nxitur ose lehtësuar me vetëdije dislokimin e efektivëve të paidentifikueshëm, pengimin e dokumentimit filmik dhe kryerjen e veprimeve të kundërligjshme ndaj qytetarëve. Veçanërisht duhet të shqyrtohet nëse këto kontribute kanë synuar jo vetëm shmangien e përgjegjësisë së autorëve, por edhe pengimin e ushtrimit të lirisë së tubimit, sipas nenit 261 të K</w:t>
      </w:r>
      <w:r w:rsidR="00DB59C4" w:rsidRPr="00503A01">
        <w:rPr>
          <w:rFonts w:ascii="Times New Roman" w:hAnsi="Times New Roman" w:cs="Times New Roman"/>
          <w:sz w:val="24"/>
          <w:szCs w:val="24"/>
        </w:rPr>
        <w:t>.</w:t>
      </w:r>
      <w:r w:rsidRPr="00503A01">
        <w:rPr>
          <w:rFonts w:ascii="Times New Roman" w:hAnsi="Times New Roman" w:cs="Times New Roman"/>
          <w:sz w:val="24"/>
          <w:szCs w:val="24"/>
        </w:rPr>
        <w:t xml:space="preserve"> Penal, përfshirë formën e cilësuar të shoqëruar me dhunë fizike.</w:t>
      </w:r>
    </w:p>
    <w:p w14:paraId="1DCA2CC5" w14:textId="77777777" w:rsidR="009C3A91" w:rsidRPr="00503A01" w:rsidRDefault="009C3A91" w:rsidP="009C3A91">
      <w:pPr>
        <w:spacing w:after="0" w:line="240" w:lineRule="auto"/>
        <w:jc w:val="both"/>
        <w:rPr>
          <w:rFonts w:ascii="Times New Roman" w:hAnsi="Times New Roman" w:cs="Times New Roman"/>
          <w:b/>
          <w:bCs/>
          <w:sz w:val="24"/>
          <w:szCs w:val="24"/>
        </w:rPr>
      </w:pPr>
    </w:p>
    <w:p w14:paraId="43A53FD8" w14:textId="011F0331" w:rsidR="009C3A91" w:rsidRPr="00503A01" w:rsidRDefault="009C3A91" w:rsidP="009C3A91">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Neni 28, pika 4, parashikon grupin e strukturuar kriminal si një formë të posaçme bashkëpunimi të të paktën tre personave, të krijuar jo rastësisht për kryerjen e një ose më shumë veprave penale me qëllim realizimin e përfitimeve materiale ose jomateriale</w:t>
      </w:r>
      <w:r w:rsidRPr="00503A01">
        <w:rPr>
          <w:rFonts w:ascii="Times New Roman" w:hAnsi="Times New Roman" w:cs="Times New Roman"/>
          <w:sz w:val="24"/>
          <w:szCs w:val="24"/>
        </w:rPr>
        <w:t>, pa kërkuar domosdoshmërisht anëtarësi të qëndrueshme, ndarje të zhvilluar detyrash apo organizim kompleks. Neni 333/a parashikon përgjegjësinë për krijimin, organizimin, drejtimin dhe pjesëmarrjen në këtë grup. Për rrjedhojë, duhet të hetohet nëse drejtues policorë dhe funksionarë të tjerë kanë bashkëpunuar në mënyrë jo rastësore, me role të ndryshme në organizimin e operacioneve, dislokimin e efektivëve pa identifikues, pengimin e dokumentimit dhe mbulimin e përgjegjësisë së autorëve.</w:t>
      </w:r>
    </w:p>
    <w:p w14:paraId="61586EF7" w14:textId="77777777" w:rsidR="004F373B" w:rsidRPr="00503A01" w:rsidRDefault="004F373B" w:rsidP="009C3A91">
      <w:pPr>
        <w:spacing w:after="0" w:line="240" w:lineRule="auto"/>
        <w:jc w:val="both"/>
        <w:rPr>
          <w:rFonts w:ascii="Times New Roman" w:hAnsi="Times New Roman" w:cs="Times New Roman"/>
          <w:b/>
          <w:bCs/>
          <w:i/>
          <w:sz w:val="24"/>
          <w:szCs w:val="24"/>
        </w:rPr>
      </w:pPr>
    </w:p>
    <w:p w14:paraId="358F19CF" w14:textId="4590DC18" w:rsidR="009C3A91" w:rsidRPr="00503A01" w:rsidRDefault="009C3A91" w:rsidP="009C3A91">
      <w:pPr>
        <w:spacing w:after="0" w:line="240" w:lineRule="auto"/>
        <w:jc w:val="both"/>
        <w:rPr>
          <w:rFonts w:ascii="Times New Roman" w:hAnsi="Times New Roman" w:cs="Times New Roman"/>
          <w:sz w:val="24"/>
          <w:szCs w:val="24"/>
        </w:rPr>
      </w:pPr>
      <w:r w:rsidRPr="00503A01">
        <w:rPr>
          <w:rFonts w:ascii="Times New Roman" w:hAnsi="Times New Roman" w:cs="Times New Roman"/>
          <w:b/>
          <w:bCs/>
          <w:i/>
          <w:sz w:val="24"/>
          <w:szCs w:val="24"/>
        </w:rPr>
        <w:t>Hipoteza e kallëzuesve është se përfitimi i synuar jomaterial ka qenë sigurimi paraprak i pandëshkueshmërisë</w:t>
      </w:r>
      <w:r w:rsidRPr="00503A01">
        <w:rPr>
          <w:rFonts w:ascii="Times New Roman" w:hAnsi="Times New Roman" w:cs="Times New Roman"/>
          <w:i/>
          <w:sz w:val="24"/>
          <w:szCs w:val="24"/>
        </w:rPr>
        <w:t>,</w:t>
      </w:r>
      <w:r w:rsidRPr="00503A01">
        <w:rPr>
          <w:rFonts w:ascii="Times New Roman" w:hAnsi="Times New Roman" w:cs="Times New Roman"/>
          <w:sz w:val="24"/>
          <w:szCs w:val="24"/>
        </w:rPr>
        <w:t xml:space="preserve"> përmes krijimit të kushteve që u mundësojnë efektivëve të kryejnë veprime penale duke shmangur identifikimin dhe ndjekjen. Ky përfitim i mundshëm duhet dalluar nga dëshira e zakonshme e autorit për t'i shpëtuar dënimit pas kryerjes së veprës. Ndërsa pandëshkueshmëria mund të përbëjë përfitimin jomaterial të synuar, </w:t>
      </w:r>
      <w:r w:rsidRPr="00503A01">
        <w:rPr>
          <w:rFonts w:ascii="Times New Roman" w:hAnsi="Times New Roman" w:cs="Times New Roman"/>
          <w:b/>
          <w:bCs/>
          <w:i/>
          <w:sz w:val="24"/>
          <w:szCs w:val="24"/>
        </w:rPr>
        <w:t>qëllimi më i gjerë i dyshuar mund të ketë qenë frikësimi i qytetarëve dhe dekurajimi i pjesëmarrjes në tubime</w:t>
      </w:r>
      <w:r w:rsidRPr="00503A01">
        <w:rPr>
          <w:rFonts w:ascii="Times New Roman" w:hAnsi="Times New Roman" w:cs="Times New Roman"/>
          <w:i/>
          <w:sz w:val="24"/>
          <w:szCs w:val="24"/>
        </w:rPr>
        <w:t>.</w:t>
      </w:r>
      <w:r w:rsidRPr="00503A01">
        <w:rPr>
          <w:rFonts w:ascii="Times New Roman" w:hAnsi="Times New Roman" w:cs="Times New Roman"/>
          <w:sz w:val="24"/>
          <w:szCs w:val="24"/>
        </w:rPr>
        <w:t xml:space="preserve"> Plotësimi i elementit të përfitimit jomaterial dhe i kushteve të tjera të grupit kërkon vlerësim të posaçëm juridik e provues.</w:t>
      </w:r>
    </w:p>
    <w:p w14:paraId="2D842199" w14:textId="77777777" w:rsidR="009C3A91" w:rsidRPr="00503A01" w:rsidRDefault="009C3A91" w:rsidP="009C3A91">
      <w:pPr>
        <w:spacing w:after="0" w:line="240" w:lineRule="auto"/>
        <w:jc w:val="both"/>
        <w:rPr>
          <w:rFonts w:ascii="Times New Roman" w:hAnsi="Times New Roman" w:cs="Times New Roman"/>
          <w:sz w:val="24"/>
          <w:szCs w:val="24"/>
        </w:rPr>
      </w:pPr>
    </w:p>
    <w:p w14:paraId="4DDDF9F5" w14:textId="23B19F43" w:rsidR="009C3A91" w:rsidRPr="00503A01" w:rsidRDefault="009C3A91" w:rsidP="009C3A9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Në vendimin njësues nr. 00-2024-2155(107), datë 24.04.2024, Kolegji Penal i Gjykatës së Lartë ka sqaruar se </w:t>
      </w:r>
      <w:r w:rsidRPr="00503A01">
        <w:rPr>
          <w:rFonts w:ascii="Times New Roman" w:hAnsi="Times New Roman" w:cs="Times New Roman"/>
          <w:bCs/>
          <w:sz w:val="24"/>
          <w:szCs w:val="24"/>
        </w:rPr>
        <w:t>nenet 333 dhe 333/a parashikojnë vepra penale formale</w:t>
      </w:r>
      <w:r w:rsidRPr="00503A01">
        <w:rPr>
          <w:rFonts w:ascii="Times New Roman" w:hAnsi="Times New Roman" w:cs="Times New Roman"/>
          <w:sz w:val="24"/>
          <w:szCs w:val="24"/>
        </w:rPr>
        <w:t>, përgjegjësia për të cilat nuk kushtëzohet nga realizimi i veprave konkrete të synuara nga grupi. Gjykata ka sqaruar gjithashtu se neni 334 nuk përbën vepër penale më vete, por parashikon dënim të shtuar për veprat e kryera në kushtet e përcaktuara prej tij. Për rrjedhojë, nëse provohen elementet e grupit të strukturuar kriminal, përgjegjësia për krijimin, drejtimin ose pjesëmarrjen në të duhet të shqyrtohet veçmas nga përgjegjësia për veprat penale konkrete, sipas kontributit të secilit.</w:t>
      </w:r>
    </w:p>
    <w:p w14:paraId="6C70379A" w14:textId="77777777" w:rsidR="00076908" w:rsidRPr="00503A01" w:rsidRDefault="00076908" w:rsidP="00A85398">
      <w:pPr>
        <w:spacing w:after="0" w:line="240" w:lineRule="auto"/>
        <w:jc w:val="both"/>
        <w:rPr>
          <w:rFonts w:ascii="Times New Roman" w:hAnsi="Times New Roman" w:cs="Times New Roman"/>
          <w:sz w:val="24"/>
          <w:szCs w:val="24"/>
        </w:rPr>
      </w:pPr>
    </w:p>
    <w:p w14:paraId="57AC78F9" w14:textId="5F83C17E" w:rsidR="00A85398" w:rsidRPr="00503A01" w:rsidRDefault="00BD125A" w:rsidP="00FE0A0F">
      <w:pPr>
        <w:pStyle w:val="ListParagraph"/>
        <w:numPr>
          <w:ilvl w:val="0"/>
          <w:numId w:val="24"/>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Standardet e GJEDNJ-së mbi pandëshkueshmërinë, përgjegjësinë e drejtuesve dhe veprimet e personave civilë</w:t>
      </w:r>
    </w:p>
    <w:p w14:paraId="435B118E" w14:textId="77777777" w:rsidR="00724C57" w:rsidRPr="00503A01" w:rsidRDefault="00724C57" w:rsidP="00724C57">
      <w:pPr>
        <w:pStyle w:val="ListParagraph"/>
        <w:spacing w:after="0" w:line="240" w:lineRule="auto"/>
        <w:jc w:val="both"/>
        <w:rPr>
          <w:rFonts w:ascii="Times New Roman" w:hAnsi="Times New Roman" w:cs="Times New Roman"/>
          <w:b/>
          <w:bCs/>
          <w:sz w:val="24"/>
          <w:szCs w:val="24"/>
        </w:rPr>
      </w:pPr>
    </w:p>
    <w:p w14:paraId="25733657" w14:textId="4499DBCC" w:rsidR="00BD125A" w:rsidRPr="00503A01" w:rsidRDefault="00BD125A" w:rsidP="00BD125A">
      <w:pPr>
        <w:spacing w:after="0" w:line="240" w:lineRule="auto"/>
        <w:jc w:val="both"/>
        <w:rPr>
          <w:rFonts w:ascii="Times New Roman" w:hAnsi="Times New Roman" w:cs="Times New Roman"/>
          <w:i/>
          <w:sz w:val="24"/>
          <w:szCs w:val="24"/>
        </w:rPr>
      </w:pPr>
      <w:r w:rsidRPr="00503A01">
        <w:rPr>
          <w:rFonts w:ascii="Times New Roman" w:hAnsi="Times New Roman" w:cs="Times New Roman"/>
          <w:sz w:val="24"/>
          <w:szCs w:val="24"/>
        </w:rPr>
        <w:t xml:space="preserve">Në çështjen </w:t>
      </w:r>
      <w:r w:rsidRPr="00503A01">
        <w:rPr>
          <w:rFonts w:ascii="Times New Roman" w:hAnsi="Times New Roman" w:cs="Times New Roman"/>
          <w:i/>
          <w:iCs/>
          <w:sz w:val="24"/>
          <w:szCs w:val="24"/>
        </w:rPr>
        <w:t>Dedovskiy dhe të Tjerë kundër Rusisë</w:t>
      </w:r>
      <w:r w:rsidRPr="00503A01">
        <w:rPr>
          <w:rFonts w:ascii="Times New Roman" w:hAnsi="Times New Roman" w:cs="Times New Roman"/>
          <w:sz w:val="24"/>
          <w:szCs w:val="24"/>
        </w:rPr>
        <w:t xml:space="preserve">, GJEDNJ konstatoi se autoritetet kishin krijuar qëllimisht një situatë pandëshkueshmërie, duke lejuar përdorimin e efektivëve të maskuar pa shenja individuale identifikimi, ndërkohë që dokumentacioni i përdorimit të forcës nuk përmbante të dhënat e nevojshme për identifikimin e autorëve (§ 91). Ky precedent mbështet nevojën për të hetuar jo vetëm pamundësinë e identifikimit të efektivëve, por edhe </w:t>
      </w:r>
      <w:r w:rsidRPr="00503A01">
        <w:rPr>
          <w:rFonts w:ascii="Times New Roman" w:hAnsi="Times New Roman" w:cs="Times New Roman"/>
          <w:b/>
          <w:bCs/>
          <w:i/>
          <w:sz w:val="24"/>
          <w:szCs w:val="24"/>
        </w:rPr>
        <w:t>përgjegjësinë e drejtuesve për krijimin ose ruajtjen e vetë kushteve që e kanë shkaktuar atë</w:t>
      </w:r>
      <w:r w:rsidRPr="00503A01">
        <w:rPr>
          <w:rFonts w:ascii="Times New Roman" w:hAnsi="Times New Roman" w:cs="Times New Roman"/>
          <w:i/>
          <w:sz w:val="24"/>
          <w:szCs w:val="24"/>
        </w:rPr>
        <w:t>.</w:t>
      </w:r>
    </w:p>
    <w:p w14:paraId="449A0AD8" w14:textId="77777777" w:rsidR="00290587" w:rsidRPr="00503A01" w:rsidRDefault="00290587" w:rsidP="00BD125A">
      <w:pPr>
        <w:spacing w:after="0" w:line="240" w:lineRule="auto"/>
        <w:jc w:val="both"/>
        <w:rPr>
          <w:rFonts w:ascii="Times New Roman" w:hAnsi="Times New Roman" w:cs="Times New Roman"/>
          <w:sz w:val="24"/>
          <w:szCs w:val="24"/>
        </w:rPr>
      </w:pPr>
    </w:p>
    <w:p w14:paraId="4FF85B88" w14:textId="77777777" w:rsidR="00BD125A" w:rsidRPr="00503A01" w:rsidRDefault="00BD125A" w:rsidP="00BD125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 xml:space="preserve">Në çështjen </w:t>
      </w:r>
      <w:r w:rsidRPr="00503A01">
        <w:rPr>
          <w:rFonts w:ascii="Times New Roman" w:hAnsi="Times New Roman" w:cs="Times New Roman"/>
          <w:i/>
          <w:iCs/>
          <w:sz w:val="24"/>
          <w:szCs w:val="24"/>
        </w:rPr>
        <w:t>Tsaava dhe të Tjerë kundër Gjeorgjisë</w:t>
      </w:r>
      <w:r w:rsidRPr="00503A01">
        <w:rPr>
          <w:rFonts w:ascii="Times New Roman" w:hAnsi="Times New Roman" w:cs="Times New Roman"/>
          <w:sz w:val="24"/>
          <w:szCs w:val="24"/>
        </w:rPr>
        <w:t xml:space="preserve"> [DhM], datë 11.12.2025, §§ 296 dhe 465, GJEDNJ theksoi se hetimi efektiv i përdorimit në shkallë të gjerë të forcës policore duhet të përfshijë analizën sistematike të ngjarjeve, bazën ligjore, planifikimin dhe ekzekutimin e operacionit, si dhe përgjegjësinë eventuale të drejtuesve. Po kështu, në çështjen </w:t>
      </w:r>
      <w:r w:rsidRPr="00503A01">
        <w:rPr>
          <w:rFonts w:ascii="Times New Roman" w:hAnsi="Times New Roman" w:cs="Times New Roman"/>
          <w:i/>
          <w:iCs/>
          <w:sz w:val="24"/>
          <w:szCs w:val="24"/>
        </w:rPr>
        <w:t>Nika kundër Shqipërisë</w:t>
      </w:r>
      <w:r w:rsidRPr="00503A01">
        <w:rPr>
          <w:rFonts w:ascii="Times New Roman" w:hAnsi="Times New Roman" w:cs="Times New Roman"/>
          <w:sz w:val="24"/>
          <w:szCs w:val="24"/>
        </w:rPr>
        <w:t>, datë 14.11.2023, kërkesa nr. 1049/17, lidhur me protestën e 21 janarit 2011, Gjykata evidentoi rëndësinë e hetimit të zinxhirit komandues dhe të vendimmarrjes për organizimin dhe kontrollin e përdorimit të forcës. Këto standarde kërkojnë që hetimi të mos kufizohet te autorët materialë, por të përfshijë edhe përgjegjësinë eventuale të drejtuesve për procedurat e identifikimit, dislokimin e njësive dhe dokumentimin e ndërhyrjeve.</w:t>
      </w:r>
    </w:p>
    <w:p w14:paraId="3F857F37" w14:textId="77777777" w:rsidR="00290587" w:rsidRPr="00503A01" w:rsidRDefault="00290587" w:rsidP="00BD125A">
      <w:pPr>
        <w:spacing w:after="0" w:line="240" w:lineRule="auto"/>
        <w:jc w:val="both"/>
        <w:rPr>
          <w:rFonts w:ascii="Times New Roman" w:hAnsi="Times New Roman" w:cs="Times New Roman"/>
          <w:sz w:val="24"/>
          <w:szCs w:val="24"/>
        </w:rPr>
      </w:pPr>
    </w:p>
    <w:p w14:paraId="05DC4587" w14:textId="4FF153C9" w:rsidR="00BD125A" w:rsidRPr="00503A01" w:rsidRDefault="00BD125A" w:rsidP="00BD125A">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Rëndësi paraqet edhe incidenti i datës 18.10.2026 pranë selisë së Partisë Socialiste, ku janë raportuar persona civilë të maskuar dhe të pajisur me shkopinj, mes tyre një person i identifikuar në media si Rigers Sheqeri. Në çështjen </w:t>
      </w:r>
      <w:r w:rsidR="006E191A" w:rsidRPr="00503A01">
        <w:rPr>
          <w:rFonts w:ascii="Times New Roman" w:hAnsi="Times New Roman" w:cs="Times New Roman"/>
          <w:i/>
          <w:iCs/>
          <w:sz w:val="24"/>
          <w:szCs w:val="24"/>
        </w:rPr>
        <w:t>W</w:t>
      </w:r>
      <w:r w:rsidRPr="00503A01">
        <w:rPr>
          <w:rFonts w:ascii="Times New Roman" w:hAnsi="Times New Roman" w:cs="Times New Roman"/>
          <w:i/>
          <w:iCs/>
          <w:sz w:val="24"/>
          <w:szCs w:val="24"/>
        </w:rPr>
        <w:t>omen's Initiatives Supporting Group dhe të Tjerë kundër Gjeorgjisë</w:t>
      </w:r>
      <w:r w:rsidRPr="00503A01">
        <w:rPr>
          <w:rFonts w:ascii="Times New Roman" w:hAnsi="Times New Roman" w:cs="Times New Roman"/>
          <w:sz w:val="24"/>
          <w:szCs w:val="24"/>
        </w:rPr>
        <w:t>, datë 16.12.2021, §§ 75–78, GJEDNJ shqyrtoi mosndërhyrjen, miratimin e heshtur dhe përfshirjen eventuale të policisë në dhunën e ushtruar nga persona privatë ndaj pjesëmarrësve në një tubim. Për rrjedhojë, duhet të hetohet nëse strukturat policore kanë toleruar, lehtësuar ose mbështetur me vetëdije veprime të kundërligjshme të personave civilë dhe nëse ka ekzistuar ndonjë formë bashkëpunimi.</w:t>
      </w:r>
    </w:p>
    <w:p w14:paraId="37C6C04B" w14:textId="77777777" w:rsidR="00290587" w:rsidRPr="00503A01" w:rsidRDefault="00290587" w:rsidP="00BD125A">
      <w:pPr>
        <w:spacing w:after="0" w:line="240" w:lineRule="auto"/>
        <w:jc w:val="both"/>
        <w:rPr>
          <w:rFonts w:ascii="Times New Roman" w:hAnsi="Times New Roman" w:cs="Times New Roman"/>
          <w:sz w:val="24"/>
          <w:szCs w:val="24"/>
        </w:rPr>
      </w:pPr>
    </w:p>
    <w:p w14:paraId="6E640CB4" w14:textId="77777777" w:rsidR="00BD125A" w:rsidRPr="00503A01" w:rsidRDefault="00BD125A" w:rsidP="00BD125A">
      <w:pPr>
        <w:spacing w:after="0" w:line="240" w:lineRule="auto"/>
        <w:jc w:val="both"/>
        <w:rPr>
          <w:rFonts w:ascii="Times New Roman" w:hAnsi="Times New Roman" w:cs="Times New Roman"/>
          <w:i/>
          <w:sz w:val="24"/>
          <w:szCs w:val="24"/>
        </w:rPr>
      </w:pPr>
      <w:r w:rsidRPr="00503A01">
        <w:rPr>
          <w:rFonts w:ascii="Times New Roman" w:hAnsi="Times New Roman" w:cs="Times New Roman"/>
          <w:b/>
          <w:bCs/>
          <w:i/>
          <w:sz w:val="24"/>
          <w:szCs w:val="24"/>
        </w:rPr>
        <w:t>Në përputhje me këto standarde, hetimi duhet të shtrihet përtej identifikimit të autorëve të drejtpërdrejtë të dhunës, duke shqyrtuar vendimmarrjen, urdhrat, mosveprimet dhe kontributin eventual të drejtuesve në krijimin e kushteve të pandëshkueshmërisë, si dhe bashkëpunimin e mundshëm me persona jashtë strukturave policore.</w:t>
      </w:r>
    </w:p>
    <w:p w14:paraId="03A9F6C8" w14:textId="77777777" w:rsidR="00F20642" w:rsidRPr="00503A01" w:rsidRDefault="00F20642" w:rsidP="002E382C">
      <w:pPr>
        <w:spacing w:after="0" w:line="240" w:lineRule="auto"/>
        <w:jc w:val="both"/>
        <w:rPr>
          <w:rFonts w:ascii="Times New Roman" w:hAnsi="Times New Roman" w:cs="Times New Roman"/>
          <w:sz w:val="24"/>
          <w:szCs w:val="24"/>
        </w:rPr>
      </w:pPr>
    </w:p>
    <w:p w14:paraId="51CDB60A" w14:textId="77777777" w:rsidR="002E382C" w:rsidRPr="00503A01" w:rsidRDefault="002E382C" w:rsidP="00184738">
      <w:pPr>
        <w:spacing w:after="0" w:line="240" w:lineRule="auto"/>
        <w:jc w:val="both"/>
        <w:rPr>
          <w:rFonts w:ascii="Times New Roman" w:hAnsi="Times New Roman" w:cs="Times New Roman"/>
          <w:sz w:val="24"/>
          <w:szCs w:val="24"/>
        </w:rPr>
      </w:pPr>
    </w:p>
    <w:p w14:paraId="74178D4D" w14:textId="06A53117" w:rsidR="00EF4C5D" w:rsidRPr="00503A01" w:rsidRDefault="00EF4C5D" w:rsidP="005E6255">
      <w:pPr>
        <w:pStyle w:val="ListParagraph"/>
        <w:numPr>
          <w:ilvl w:val="0"/>
          <w:numId w:val="37"/>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KOMPETENCA E SPAK, VEPRIMET HETIMORE DHE MASAT URGJENTE</w:t>
      </w:r>
    </w:p>
    <w:p w14:paraId="20B9DE9F" w14:textId="77777777" w:rsidR="00076908" w:rsidRPr="00503A01" w:rsidRDefault="00076908" w:rsidP="00A4074A">
      <w:pPr>
        <w:pStyle w:val="ListParagraph"/>
        <w:spacing w:after="0" w:line="240" w:lineRule="auto"/>
        <w:ind w:left="1080"/>
        <w:jc w:val="both"/>
        <w:rPr>
          <w:rFonts w:ascii="Times New Roman" w:hAnsi="Times New Roman" w:cs="Times New Roman"/>
          <w:b/>
          <w:bCs/>
          <w:sz w:val="24"/>
          <w:szCs w:val="24"/>
          <w:lang w:val="de-AT"/>
        </w:rPr>
      </w:pPr>
    </w:p>
    <w:p w14:paraId="4694C8DF" w14:textId="3218944F" w:rsidR="00EF4C5D" w:rsidRPr="00503A01" w:rsidRDefault="00EF4C5D" w:rsidP="00FE0A0F">
      <w:pPr>
        <w:pStyle w:val="ListParagraph"/>
        <w:numPr>
          <w:ilvl w:val="0"/>
          <w:numId w:val="33"/>
        </w:numPr>
        <w:spacing w:after="0" w:line="240" w:lineRule="auto"/>
        <w:jc w:val="both"/>
        <w:rPr>
          <w:rFonts w:ascii="Times New Roman" w:hAnsi="Times New Roman" w:cs="Times New Roman"/>
          <w:b/>
          <w:bCs/>
          <w:sz w:val="24"/>
          <w:szCs w:val="24"/>
          <w:lang w:val="de-AT"/>
        </w:rPr>
      </w:pPr>
      <w:r w:rsidRPr="00503A01">
        <w:rPr>
          <w:rFonts w:ascii="Times New Roman" w:hAnsi="Times New Roman" w:cs="Times New Roman"/>
          <w:b/>
          <w:bCs/>
          <w:sz w:val="24"/>
          <w:szCs w:val="24"/>
          <w:lang w:val="de-AT"/>
        </w:rPr>
        <w:t>Kompetenca e Prokurorisë së Posaçme dhe nevoja për regjistrimin e procedimit penal</w:t>
      </w:r>
    </w:p>
    <w:p w14:paraId="712BA2FC" w14:textId="77777777" w:rsidR="00A4074A" w:rsidRPr="00503A01" w:rsidRDefault="00A4074A" w:rsidP="00A4074A">
      <w:pPr>
        <w:pStyle w:val="ListParagraph"/>
        <w:spacing w:after="0" w:line="240" w:lineRule="auto"/>
        <w:jc w:val="both"/>
        <w:rPr>
          <w:rFonts w:ascii="Times New Roman" w:hAnsi="Times New Roman" w:cs="Times New Roman"/>
          <w:b/>
          <w:bCs/>
          <w:sz w:val="24"/>
          <w:szCs w:val="24"/>
          <w:lang w:val="de-AT"/>
        </w:rPr>
      </w:pPr>
    </w:p>
    <w:p w14:paraId="54EADD44" w14:textId="06C65528" w:rsidR="00EF4C5D" w:rsidRPr="00503A01" w:rsidRDefault="00EF4C5D" w:rsidP="00EF4C5D">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Kompetenca e Prokurorisë së Posaçme për hetimin e fakteve të kallëzuara mbështetet në nenin 135, pika 2, të Kushtetutës, nenin 75/a, shkronja “c”, të Kodit të Procedurës Penale, si dhe në nenet 8 dhe 9 të ligjit nr. 95/2016.</w:t>
      </w:r>
    </w:p>
    <w:p w14:paraId="626F91DE" w14:textId="77777777" w:rsidR="00A4074A" w:rsidRPr="00503A01" w:rsidRDefault="00A4074A" w:rsidP="00EF4C5D">
      <w:pPr>
        <w:spacing w:after="0" w:line="240" w:lineRule="auto"/>
        <w:jc w:val="both"/>
        <w:rPr>
          <w:rFonts w:ascii="Times New Roman" w:hAnsi="Times New Roman" w:cs="Times New Roman"/>
          <w:sz w:val="24"/>
          <w:szCs w:val="24"/>
          <w:lang w:val="de-AT"/>
        </w:rPr>
      </w:pPr>
    </w:p>
    <w:p w14:paraId="116D3324" w14:textId="0AFE9178" w:rsidR="00C74831" w:rsidRPr="00503A01" w:rsidRDefault="00C74831" w:rsidP="00C7483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lang w:val="de-AT"/>
        </w:rPr>
        <w:t xml:space="preserve">Kompetenca e Prokurorisë së Posaçme për hetimin e fakteve të kallëzuara mbështetet, së pari, në cilësinë e Drejtorit të Përgjithshëm të Policisë së Shtetit si subjekt i juridiksionit të posaçëm, sipas nenit 75/a, shkronja “c”, të Kodit të Procedurës Penale. Ky funksion përfshihet shprehimisht në përkufizimin e drejtuesve të institucioneve shtetërore qendrore ose të pavarura, sipas nenit 3, pika 2, të ligjit nr. 95/2016. Për rrjedhojë, faktet e parashtruara lidhur me veprimet dhe mosveprimet e dyshuara të Drejtorit të Përgjithshëm i nënshtrohen kompetencës së Prokurorisë së Posaçme. </w:t>
      </w:r>
    </w:p>
    <w:p w14:paraId="1A1E7CF5" w14:textId="77777777" w:rsidR="00C74831" w:rsidRPr="00503A01" w:rsidRDefault="00C74831" w:rsidP="00C74831">
      <w:pPr>
        <w:spacing w:after="0" w:line="240" w:lineRule="auto"/>
        <w:jc w:val="both"/>
        <w:rPr>
          <w:rFonts w:ascii="Times New Roman" w:hAnsi="Times New Roman" w:cs="Times New Roman"/>
          <w:sz w:val="24"/>
          <w:szCs w:val="24"/>
        </w:rPr>
      </w:pPr>
    </w:p>
    <w:p w14:paraId="254F9EC5" w14:textId="74BA5A34" w:rsidR="00C74831" w:rsidRPr="00503A01" w:rsidRDefault="00C74831" w:rsidP="00C7483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Kompetenca për hetimin e përgjegjësisë së drejtuesve të tjerë policorë dhe të personave të përfshirë në të njëjtat fakte mbështetet edhe në rregullat për procedimet e lidhura. Neni 80 i Kodit të Procedurës Penale përcakton kompetencën e gjykatës së posaçme kur procedimet janë të lidhura, nuk mund të ndahen dhe të paktën njëri prej tyre i përket kompetencës së saj. Për këtë arsye, mungesa e cilësisë së posaçme të subjektit te një drejtues vendor, drejtues njësie ose efektiv policor nuk e përjashton hetimin e tij nga Prokuroria e Posaçme, kur plotësohen kushtet e kësaj dispozite. </w:t>
      </w:r>
    </w:p>
    <w:p w14:paraId="7A8AAD9D" w14:textId="4BB7FD00" w:rsidR="00C74831" w:rsidRPr="00503A01" w:rsidRDefault="00C74831" w:rsidP="00C7483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Në rastin konkret, lidhja dhe nevoja për hetim të përbashkët burojnë nga vetë objekti i kallëzimit</w:t>
      </w:r>
      <w:r w:rsidR="000A18ED" w:rsidRPr="00503A01">
        <w:rPr>
          <w:rFonts w:ascii="Times New Roman" w:hAnsi="Times New Roman" w:cs="Times New Roman"/>
          <w:sz w:val="24"/>
          <w:szCs w:val="24"/>
        </w:rPr>
        <w:t>, q</w:t>
      </w:r>
      <w:r w:rsidR="005B79B4" w:rsidRPr="00503A01">
        <w:rPr>
          <w:rFonts w:ascii="Times New Roman" w:hAnsi="Times New Roman" w:cs="Times New Roman"/>
          <w:sz w:val="24"/>
          <w:szCs w:val="24"/>
        </w:rPr>
        <w:t>ë</w:t>
      </w:r>
      <w:r w:rsidR="000A18ED" w:rsidRPr="00503A01">
        <w:rPr>
          <w:rFonts w:ascii="Times New Roman" w:hAnsi="Times New Roman" w:cs="Times New Roman"/>
          <w:sz w:val="24"/>
          <w:szCs w:val="24"/>
        </w:rPr>
        <w:t xml:space="preserve"> </w:t>
      </w:r>
      <w:r w:rsidR="005B79B4" w:rsidRPr="00503A01">
        <w:rPr>
          <w:rFonts w:ascii="Times New Roman" w:hAnsi="Times New Roman" w:cs="Times New Roman"/>
          <w:sz w:val="24"/>
          <w:szCs w:val="24"/>
        </w:rPr>
        <w:t>ë</w:t>
      </w:r>
      <w:r w:rsidR="000A18ED" w:rsidRPr="00503A01">
        <w:rPr>
          <w:rFonts w:ascii="Times New Roman" w:hAnsi="Times New Roman" w:cs="Times New Roman"/>
          <w:sz w:val="24"/>
          <w:szCs w:val="24"/>
        </w:rPr>
        <w:t>sht</w:t>
      </w:r>
      <w:r w:rsidR="005B79B4" w:rsidRPr="00503A01">
        <w:rPr>
          <w:rFonts w:ascii="Times New Roman" w:hAnsi="Times New Roman" w:cs="Times New Roman"/>
          <w:sz w:val="24"/>
          <w:szCs w:val="24"/>
        </w:rPr>
        <w:t>ë</w:t>
      </w:r>
      <w:r w:rsidR="000A18ED" w:rsidRPr="00503A01">
        <w:rPr>
          <w:rFonts w:ascii="Times New Roman" w:hAnsi="Times New Roman" w:cs="Times New Roman"/>
          <w:sz w:val="24"/>
          <w:szCs w:val="24"/>
        </w:rPr>
        <w:t xml:space="preserve"> </w:t>
      </w:r>
      <w:r w:rsidRPr="00503A01">
        <w:rPr>
          <w:rFonts w:ascii="Times New Roman" w:hAnsi="Times New Roman" w:cs="Times New Roman"/>
          <w:sz w:val="24"/>
          <w:szCs w:val="24"/>
        </w:rPr>
        <w:t>dyshimi se veprimet e autorëve materialë, urdhrat dhe vendimmarrjet e drejtuesve, si dhe krijimi ose ruajtja e pengesave për identifikimin dhe ndjekjen penale të autorëve, përbëjnë pjesë të një mekanizmi të përbashkët. Përcaktimi i përgjegjësisë së secilit kërkon shqyrtimin e ndërlidhur të planifikimit, komandimit, zbatimit të operacioneve dhe veprimeve eventuale për mbulimin e shkeljeve. Mbi këtë bazë, kërkohet zbatimi i nenit 80 të Kodit të Procedurës Penale për procedimet e lidhura që nuk mund të ndahen, duke mbajtur parasysh edhe nenin 9 të ligjit nr. 95/2016 për veprat penale të lidhura ngushtë me çështjen në kompetencën e posaçme.</w:t>
      </w:r>
    </w:p>
    <w:p w14:paraId="3BA636C3" w14:textId="77777777" w:rsidR="000A18ED" w:rsidRPr="00503A01" w:rsidRDefault="000A18ED" w:rsidP="00C74831">
      <w:pPr>
        <w:spacing w:after="0" w:line="240" w:lineRule="auto"/>
        <w:jc w:val="both"/>
        <w:rPr>
          <w:rFonts w:ascii="Times New Roman" w:hAnsi="Times New Roman" w:cs="Times New Roman"/>
          <w:sz w:val="24"/>
          <w:szCs w:val="24"/>
        </w:rPr>
      </w:pPr>
    </w:p>
    <w:p w14:paraId="35335184" w14:textId="29FF3D39" w:rsidR="00C74831" w:rsidRPr="00503A01" w:rsidRDefault="00C74831" w:rsidP="00C7483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Gjithashtu, Kryeministri dhe Ministri i Punëve të Brendshme, si anëtarë të Këshillit të Ministrave, përfshihen në kategoritë e subjekteve të parashikuara nga neni 135, pika 2, i Kushtetutës dhe neni 75/a, shkronja “c”, i Kodit të Procedurës Penale. Për rrjedhojë, në masën që nga hetimi rezultojnë të dhëna për përfshirjen e tyre në faktet e kallëzuara, verifikimi dhe ndjekja penale e përgjegjësisë së tyre eventuale i përkasin Prokurorisë së Posaçme. </w:t>
      </w:r>
    </w:p>
    <w:p w14:paraId="2E641043" w14:textId="77777777" w:rsidR="00A4074A" w:rsidRPr="00503A01" w:rsidRDefault="00A4074A" w:rsidP="00EF4C5D">
      <w:pPr>
        <w:spacing w:after="0" w:line="240" w:lineRule="auto"/>
        <w:jc w:val="both"/>
        <w:rPr>
          <w:rFonts w:ascii="Times New Roman" w:hAnsi="Times New Roman" w:cs="Times New Roman"/>
          <w:sz w:val="24"/>
          <w:szCs w:val="24"/>
          <w:lang w:val="de-AT"/>
        </w:rPr>
      </w:pPr>
    </w:p>
    <w:p w14:paraId="52956CC7" w14:textId="6D3BE8EF" w:rsidR="00EF4C5D" w:rsidRPr="00503A01" w:rsidRDefault="00EF4C5D" w:rsidP="00EF4C5D">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Faktet e paraqitura krijojnë dyshime konkrete për organizimin, lejimin ose ruajtjen me dashje të praktikave që pamundësojnë identifikimin e efektivëve dhe dokumentimin e veprimeve të tyre. Hetimi i këtyre dyshimeve kërkon administrimin e dokumenteve, urdhrave dhe komunikimeve që disponohen kryesisht nga institucionet publike.</w:t>
      </w:r>
    </w:p>
    <w:p w14:paraId="11F6B8E8" w14:textId="77777777" w:rsidR="00A4074A" w:rsidRPr="00503A01" w:rsidRDefault="00A4074A" w:rsidP="00EF4C5D">
      <w:pPr>
        <w:spacing w:after="0" w:line="240" w:lineRule="auto"/>
        <w:jc w:val="both"/>
        <w:rPr>
          <w:rFonts w:ascii="Times New Roman" w:hAnsi="Times New Roman" w:cs="Times New Roman"/>
          <w:sz w:val="24"/>
          <w:szCs w:val="24"/>
          <w:lang w:val="de-AT"/>
        </w:rPr>
      </w:pPr>
    </w:p>
    <w:p w14:paraId="497B01AF" w14:textId="565EDC49" w:rsidR="00EF4C5D" w:rsidRPr="00503A01" w:rsidRDefault="00EF4C5D" w:rsidP="00EF4C5D">
      <w:pPr>
        <w:spacing w:after="0" w:line="240" w:lineRule="auto"/>
        <w:jc w:val="both"/>
        <w:rPr>
          <w:rFonts w:ascii="Times New Roman" w:hAnsi="Times New Roman" w:cs="Times New Roman"/>
          <w:sz w:val="24"/>
          <w:szCs w:val="24"/>
          <w:lang w:val="de-AT"/>
        </w:rPr>
      </w:pPr>
      <w:r w:rsidRPr="00503A01">
        <w:rPr>
          <w:rFonts w:ascii="Times New Roman" w:hAnsi="Times New Roman" w:cs="Times New Roman"/>
          <w:sz w:val="24"/>
          <w:szCs w:val="24"/>
          <w:lang w:val="de-AT"/>
        </w:rPr>
        <w:t>Për këtë arsye, kërkohet regjistrimi i procedimit penal, sipas nenit 287 të Kodit të Procedurës Penale, pa e kushtëzuar fillimin e hetimeve me provimin paraprak të marrëveshjes kriminale ose të të gjithë elementeve të grupit të strukturuar kriminal</w:t>
      </w:r>
      <w:r w:rsidR="00A4074A" w:rsidRPr="00503A01">
        <w:rPr>
          <w:rFonts w:ascii="Times New Roman" w:hAnsi="Times New Roman" w:cs="Times New Roman"/>
          <w:sz w:val="24"/>
          <w:szCs w:val="24"/>
          <w:lang w:val="de-AT"/>
        </w:rPr>
        <w:t>.</w:t>
      </w:r>
    </w:p>
    <w:p w14:paraId="725C7642" w14:textId="77777777" w:rsidR="00076908" w:rsidRPr="00503A01" w:rsidRDefault="00076908" w:rsidP="00EF4C5D">
      <w:pPr>
        <w:spacing w:after="0" w:line="240" w:lineRule="auto"/>
        <w:jc w:val="both"/>
        <w:rPr>
          <w:rFonts w:ascii="Times New Roman" w:hAnsi="Times New Roman" w:cs="Times New Roman"/>
          <w:b/>
          <w:bCs/>
          <w:sz w:val="24"/>
          <w:szCs w:val="24"/>
          <w:lang w:val="de-AT"/>
        </w:rPr>
      </w:pPr>
    </w:p>
    <w:p w14:paraId="0EFC65ED" w14:textId="3749E9BC" w:rsidR="00EF4C5D" w:rsidRPr="00503A01" w:rsidRDefault="006A468B" w:rsidP="00FE0A0F">
      <w:pPr>
        <w:pStyle w:val="ListParagraph"/>
        <w:numPr>
          <w:ilvl w:val="0"/>
          <w:numId w:val="33"/>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Veprimet hetimore, sigurimi i provave dhe masat për parandalimin e shkeljeve</w:t>
      </w:r>
    </w:p>
    <w:p w14:paraId="718B1E87" w14:textId="77777777" w:rsidR="00A4074A" w:rsidRPr="00503A01" w:rsidRDefault="00A4074A" w:rsidP="00A4074A">
      <w:pPr>
        <w:pStyle w:val="ListParagraph"/>
        <w:spacing w:after="0" w:line="240" w:lineRule="auto"/>
        <w:jc w:val="both"/>
        <w:rPr>
          <w:rFonts w:ascii="Times New Roman" w:hAnsi="Times New Roman" w:cs="Times New Roman"/>
          <w:b/>
          <w:bCs/>
          <w:sz w:val="24"/>
          <w:szCs w:val="24"/>
        </w:rPr>
      </w:pPr>
    </w:p>
    <w:p w14:paraId="2B103249" w14:textId="77777777" w:rsidR="009321A1" w:rsidRPr="00503A01" w:rsidRDefault="009321A1" w:rsidP="009321A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Kërkohet që SPAK, nëpërmjet BKH-së ose strukturave të tjera kompetente, të administrojë </w:t>
      </w:r>
      <w:r w:rsidRPr="00503A01">
        <w:rPr>
          <w:rFonts w:ascii="Times New Roman" w:hAnsi="Times New Roman" w:cs="Times New Roman"/>
          <w:bCs/>
          <w:sz w:val="24"/>
          <w:szCs w:val="24"/>
        </w:rPr>
        <w:t>planet dhe urdhrat operacionalë, regjistrat e dislokimit, listat emërore, dokumentacionin e pajisjes dhe identifikimit të efektivëve, radiokomunikimet, regjistrimet filmike dhe historikun e urdhrave</w:t>
      </w:r>
      <w:r w:rsidRPr="00503A01">
        <w:rPr>
          <w:rFonts w:ascii="Times New Roman" w:hAnsi="Times New Roman" w:cs="Times New Roman"/>
          <w:sz w:val="24"/>
          <w:szCs w:val="24"/>
        </w:rPr>
        <w:t xml:space="preserve">. Hetimi duhet të përfshijë pengimin e gazetarëve dhe qytetarëve për dokumentimin e ndërhyrjeve, kallëzimet dhe procedimet ekzistuese, si dhe komunikimet dhe vendimmarrjet e drejtuesve pas marrjes së dijenisë për shkeljet, përfshirë trajtimin e letrës së hapur dhe rekomandimeve të Avokatit të Popullit. Duhet të administrohen gjithashtu komunikimet eventualisht relevante ndërmjet drejtuesve policorë, Ministrit Ervin Demo dhe Kryeministrit Edi Rama, si dhe dokumentacioni mbi masat financiare, arsimore e administrative ndaj protestuesve, për të verifikuar </w:t>
      </w:r>
      <w:r w:rsidRPr="00503A01">
        <w:rPr>
          <w:rFonts w:ascii="Times New Roman" w:hAnsi="Times New Roman" w:cs="Times New Roman"/>
          <w:bCs/>
          <w:sz w:val="24"/>
          <w:szCs w:val="24"/>
        </w:rPr>
        <w:t>nëse mosidentifikueshmëria dhe pengimi i dokumentimit kanë qenë pjesë e një mekanizmi të qëllimshëm për garantimin e pandëshkueshmërisë dhe dekurajimin e tubimeve paqësore</w:t>
      </w:r>
      <w:r w:rsidRPr="00503A01">
        <w:rPr>
          <w:rFonts w:ascii="Times New Roman" w:hAnsi="Times New Roman" w:cs="Times New Roman"/>
          <w:sz w:val="24"/>
          <w:szCs w:val="24"/>
        </w:rPr>
        <w:t>.</w:t>
      </w:r>
    </w:p>
    <w:p w14:paraId="62A040FD" w14:textId="77777777" w:rsidR="009321A1" w:rsidRPr="00503A01" w:rsidRDefault="009321A1" w:rsidP="009321A1">
      <w:pPr>
        <w:spacing w:after="0" w:line="240" w:lineRule="auto"/>
        <w:jc w:val="both"/>
        <w:rPr>
          <w:rFonts w:ascii="Times New Roman" w:hAnsi="Times New Roman" w:cs="Times New Roman"/>
          <w:sz w:val="24"/>
          <w:szCs w:val="24"/>
        </w:rPr>
      </w:pPr>
    </w:p>
    <w:p w14:paraId="068DE303" w14:textId="2AA06C29" w:rsidR="003E0796" w:rsidRPr="00503A01" w:rsidRDefault="003E0796" w:rsidP="009321A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 xml:space="preserve">Për episodet e përdorimit të predhave kinetike, kërkohet sigurimi dhe ekspertimi i armëve dhe municioneve përkatëse, predhave, fragmenteve dhe gëzhojave të disponueshme, si dhe administrimi i regjistrave të shpërndarjes, përdorimit dhe kthimit të municionit. Duhet të sigurohen specifikimet dhe paralajmërimet e prodhuesit, procedurat e përdorimit, evidencat e trajnimit dhe autorizimit të efektivëve, pamjet origjinale dhe radiokomunikimet. Ekspertimi balistik, i bashkërenduar me ekspertimin mjekoligjor, duhet të vlerësojë drejtimin dhe distancën e mundshme të qitjes, përputhshmërinë e dëmtimeve me municionin, potencialin vdekjeprurës në kushtet konkrete dhe, kur ka plagosje, rrezikun për jetën e rolin e ndihmës mjekësore në mbijetesë. </w:t>
      </w:r>
    </w:p>
    <w:p w14:paraId="172DB58F" w14:textId="77777777" w:rsidR="003E0796" w:rsidRPr="00503A01" w:rsidRDefault="003E0796" w:rsidP="009321A1">
      <w:pPr>
        <w:spacing w:after="0" w:line="240" w:lineRule="auto"/>
        <w:jc w:val="both"/>
        <w:rPr>
          <w:rFonts w:ascii="Times New Roman" w:hAnsi="Times New Roman" w:cs="Times New Roman"/>
          <w:sz w:val="24"/>
          <w:szCs w:val="24"/>
        </w:rPr>
      </w:pPr>
    </w:p>
    <w:p w14:paraId="2765F08A" w14:textId="08E209D7" w:rsidR="009321A1" w:rsidRPr="00503A01" w:rsidRDefault="009321A1" w:rsidP="009321A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lastRenderedPageBreak/>
        <w:t>Për shkak të rrezikut të humbjes ose ndryshimit të provave, kërkohet marrja me përparësi e masave për ruajtjen e përshpejtuar të të dhënave kompjuterike, sipas nenit 299/a të Kodit të Procedurës Penale, si dhe administrimi ose sekuestrimi provues i dokumenteve dhe regjistrimeve, sipas nenit 208 dhe dispozitave të tjera të zbatueshme. Sigurimi i provave duhet të kryhet në mënyrë të pavarur nga strukturat potencialisht të përfshira, duke garantuar integritetin dhe zinxhirin e ruajtjes së tyre.</w:t>
      </w:r>
    </w:p>
    <w:p w14:paraId="07E048EC" w14:textId="77777777" w:rsidR="009321A1" w:rsidRPr="00503A01" w:rsidRDefault="009321A1" w:rsidP="009321A1">
      <w:pPr>
        <w:spacing w:after="0" w:line="240" w:lineRule="auto"/>
        <w:jc w:val="both"/>
        <w:rPr>
          <w:rFonts w:ascii="Times New Roman" w:hAnsi="Times New Roman" w:cs="Times New Roman"/>
          <w:sz w:val="24"/>
          <w:szCs w:val="24"/>
        </w:rPr>
      </w:pPr>
    </w:p>
    <w:p w14:paraId="0CC9A5B1" w14:textId="38EA197B" w:rsidR="009321A1" w:rsidRPr="00503A01" w:rsidRDefault="009321A1" w:rsidP="009321A1">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Nëse gjatë hetimit krijohen kushtet ligjore dhe evidentohen rreziqe konkrete për ndërhyrjen në prova, ndikimin mbi dëshmitarët ose përsëritjen e veprave, kërkohet vlerësimi i masave të sigurimit personal, sipas neneve 228–229 të Kodit të Procedurës Penale, përfshirë pezullimin nga ushtrimi i detyrës sipas nenit 242. Duhet të mbahet parasysh edhe neni 56, pika 5, i ligjit nr. 82/2024, që parashikon pezullimin e Drejtorit të Përgjithshëm me urdhër të ministrit në rastet e përcaktuara nga ligji, përfshirë marrjen e cilësisë së të pandehurit.</w:t>
      </w:r>
    </w:p>
    <w:p w14:paraId="330F0F50" w14:textId="77777777" w:rsidR="00A4074A" w:rsidRPr="00503A01" w:rsidRDefault="00A4074A" w:rsidP="00EF4C5D">
      <w:pPr>
        <w:spacing w:after="0" w:line="240" w:lineRule="auto"/>
        <w:jc w:val="both"/>
        <w:rPr>
          <w:rFonts w:ascii="Times New Roman" w:hAnsi="Times New Roman" w:cs="Times New Roman"/>
          <w:sz w:val="24"/>
          <w:szCs w:val="24"/>
        </w:rPr>
      </w:pPr>
    </w:p>
    <w:p w14:paraId="5D734318" w14:textId="77777777" w:rsidR="00F20642" w:rsidRPr="00503A01" w:rsidRDefault="00F20642" w:rsidP="00184738">
      <w:pPr>
        <w:spacing w:after="0" w:line="240" w:lineRule="auto"/>
        <w:jc w:val="both"/>
        <w:rPr>
          <w:rFonts w:ascii="Times New Roman" w:hAnsi="Times New Roman" w:cs="Times New Roman"/>
          <w:sz w:val="24"/>
          <w:szCs w:val="24"/>
        </w:rPr>
      </w:pPr>
    </w:p>
    <w:p w14:paraId="4C36085A" w14:textId="55A764AA" w:rsidR="00722E35" w:rsidRPr="00503A01" w:rsidRDefault="00722E35" w:rsidP="005E6255">
      <w:pPr>
        <w:pStyle w:val="ListParagraph"/>
        <w:numPr>
          <w:ilvl w:val="0"/>
          <w:numId w:val="37"/>
        </w:numPr>
        <w:spacing w:after="0" w:line="240" w:lineRule="auto"/>
        <w:jc w:val="both"/>
        <w:rPr>
          <w:rFonts w:ascii="Times New Roman" w:hAnsi="Times New Roman" w:cs="Times New Roman"/>
          <w:b/>
          <w:bCs/>
          <w:sz w:val="24"/>
          <w:szCs w:val="24"/>
        </w:rPr>
      </w:pPr>
      <w:r w:rsidRPr="00503A01">
        <w:rPr>
          <w:rFonts w:ascii="Times New Roman" w:hAnsi="Times New Roman" w:cs="Times New Roman"/>
          <w:b/>
          <w:bCs/>
          <w:sz w:val="24"/>
          <w:szCs w:val="24"/>
        </w:rPr>
        <w:t>KËRKESAT PËRFUNDIMTARE</w:t>
      </w:r>
    </w:p>
    <w:p w14:paraId="5158C5C1" w14:textId="77777777" w:rsidR="00722E35" w:rsidRPr="00503A01" w:rsidRDefault="00722E35" w:rsidP="00722E35">
      <w:pPr>
        <w:pStyle w:val="ListParagraph"/>
        <w:spacing w:after="0" w:line="240" w:lineRule="auto"/>
        <w:ind w:left="1080"/>
        <w:jc w:val="both"/>
        <w:rPr>
          <w:rFonts w:ascii="Times New Roman" w:hAnsi="Times New Roman" w:cs="Times New Roman"/>
          <w:b/>
          <w:bCs/>
          <w:sz w:val="24"/>
          <w:szCs w:val="24"/>
        </w:rPr>
      </w:pPr>
    </w:p>
    <w:p w14:paraId="4FEB4B0C" w14:textId="77777777" w:rsidR="00722E35" w:rsidRPr="00503A01" w:rsidRDefault="00722E35" w:rsidP="00722E35">
      <w:pPr>
        <w:spacing w:after="0" w:line="240" w:lineRule="auto"/>
        <w:jc w:val="both"/>
        <w:rPr>
          <w:rFonts w:ascii="Times New Roman" w:hAnsi="Times New Roman" w:cs="Times New Roman"/>
          <w:sz w:val="24"/>
          <w:szCs w:val="24"/>
        </w:rPr>
      </w:pPr>
      <w:r w:rsidRPr="00503A01">
        <w:rPr>
          <w:rFonts w:ascii="Times New Roman" w:hAnsi="Times New Roman" w:cs="Times New Roman"/>
          <w:sz w:val="24"/>
          <w:szCs w:val="24"/>
        </w:rPr>
        <w:t>Për sa më sipër, mbështetur në faktet, provat, dispozitat ligjore dhe jurisprudencën e paraqitur në këtë kallëzim, kërkojmë nga Prokuroria e Posaçme kundër Korrupsionit dhe Krimit të Organizuar:</w:t>
      </w:r>
    </w:p>
    <w:p w14:paraId="2CFD0146" w14:textId="77777777" w:rsidR="00722E35" w:rsidRPr="00503A01" w:rsidRDefault="00722E35" w:rsidP="00722E35">
      <w:pPr>
        <w:spacing w:after="0" w:line="240" w:lineRule="auto"/>
        <w:jc w:val="both"/>
        <w:rPr>
          <w:rFonts w:ascii="Times New Roman" w:hAnsi="Times New Roman" w:cs="Times New Roman"/>
          <w:b/>
          <w:bCs/>
          <w:sz w:val="24"/>
          <w:szCs w:val="24"/>
        </w:rPr>
      </w:pPr>
    </w:p>
    <w:p w14:paraId="1A7DF67F" w14:textId="0691AE36" w:rsidR="00AF5638" w:rsidRPr="00503A01" w:rsidRDefault="0061458A"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Regjistrimin e procedimit penal për faktet e kallëzuara, lidhur me dyshimet për organizimin, urdhërimin ose zbatimin e një veprimtarie të qëllimshme për pengimin dhe dekurajimin e ushtrimit të lirisë së shprehjes dhe tubimit, përmes përdorimit të dhunës fizike dhe veprimeve të tjera të kundërligjshme, duke krijuar dhe ruajtur njëkohësisht mekanizma që pamundësojnë identifikimin dhe ndjekjen penale të autorëve.</w:t>
      </w:r>
    </w:p>
    <w:p w14:paraId="73AA18BD"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4240893C" w14:textId="14AE095E" w:rsidR="00AF5638"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Hetimin e përgjegjësisë së mundshme penale të drejtuesve</w:t>
      </w:r>
      <w:r w:rsidRPr="00503A01">
        <w:rPr>
          <w:rFonts w:ascii="Times New Roman" w:hAnsi="Times New Roman" w:cs="Times New Roman"/>
          <w:sz w:val="24"/>
          <w:szCs w:val="24"/>
        </w:rPr>
        <w:t>, përfshirë Drejtorin e Përgjithshëm Skënder Hita, Drejtorin e Policisë së Tiranës Oliger Torba, drejtuesit e strukturave të posaçme dhe drejtuesit e tjerë qendrorë e vendorë, për të përcaktuar rolin konkret të secilit në krijimin, zbatimin ose ruajtjen e praktikave të dyshuara të kundërligjshme.</w:t>
      </w:r>
    </w:p>
    <w:p w14:paraId="63A7FFD0"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1B603140" w14:textId="5F83F056" w:rsidR="00AF5638"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Verifikimin e posaçëm të rolit të Ministrit të Punëve të Brendshme Ervin Demo dhe Kryeministrit Edi Rama</w:t>
      </w:r>
      <w:r w:rsidRPr="00503A01">
        <w:rPr>
          <w:rFonts w:ascii="Times New Roman" w:hAnsi="Times New Roman" w:cs="Times New Roman"/>
          <w:sz w:val="24"/>
          <w:szCs w:val="24"/>
        </w:rPr>
        <w:t>, në përputhje me kompetencat ligjore të secilit, dijeninë për problematikat e denoncuara, komunikimet me drejtuesit policorë dhe kontributin eventual në vendimmarrje ose veprime penalisht relevante.</w:t>
      </w:r>
    </w:p>
    <w:p w14:paraId="0B249C08" w14:textId="77777777" w:rsidR="009A3221" w:rsidRPr="00503A01" w:rsidRDefault="009A3221" w:rsidP="009A3221">
      <w:pPr>
        <w:pStyle w:val="ListParagraph"/>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17A50AAC" w14:textId="3F0DAFF8" w:rsidR="00AF5638" w:rsidRPr="00503A01" w:rsidRDefault="008F66AA" w:rsidP="008F66AA">
      <w:pPr>
        <w:pStyle w:val="ListParagraph"/>
        <w:numPr>
          <w:ilvl w:val="0"/>
          <w:numId w:val="3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503A01">
        <w:rPr>
          <w:rFonts w:ascii="Times New Roman" w:eastAsia="Times New Roman" w:hAnsi="Times New Roman" w:cs="Times New Roman"/>
          <w:kern w:val="0"/>
          <w:sz w:val="24"/>
          <w:szCs w:val="24"/>
          <w14:ligatures w14:val="none"/>
        </w:rPr>
        <w:t xml:space="preserve">Hetimin e fakteve në funksion të veprave penale të parashikuara nga nenet 86, 87, 88, 89, 110, 248, 250, 251 dhe 261, paragrafët 1 dhe 2, të Kodit Penal, sipas rrethanave dhe rolit konkret të secilit person, duke respektuar kushtet procedurale të ndjekjes penale për veprat përkatëse; vlerësimin e përgjegjësisë eventuale në bashkëpunim, sipas neneve 25-27, </w:t>
      </w:r>
      <w:r w:rsidR="00E6135A" w:rsidRPr="00503A01">
        <w:rPr>
          <w:rFonts w:ascii="Times New Roman" w:eastAsia="Times New Roman" w:hAnsi="Times New Roman" w:cs="Times New Roman"/>
          <w:kern w:val="0"/>
          <w:sz w:val="24"/>
          <w:szCs w:val="24"/>
          <w14:ligatures w14:val="none"/>
        </w:rPr>
        <w:t>hetimin e episodeve të përdorimit të predhave kinetike për verifikimin e elementeve të “Vrasjes me dashje”, të mbetur në tentativë, sipas nenit 76 në lidhje me nenin 22 të Kodit Penal, duke përcaktuar formën e fajit dhe duke shqyrtuar shprehimisht argumentin mbi lejimin me ndërgjegje të pasojës vdekjeprurëse</w:t>
      </w:r>
      <w:r w:rsidR="00E6135A" w:rsidRPr="00503A01">
        <w:rPr>
          <w:rFonts w:ascii="Times New Roman" w:eastAsia="Times New Roman" w:hAnsi="Times New Roman" w:cs="Times New Roman"/>
          <w:kern w:val="0"/>
          <w:sz w:val="24"/>
          <w:szCs w:val="24"/>
          <w14:ligatures w14:val="none"/>
        </w:rPr>
        <w:t xml:space="preserve">, </w:t>
      </w:r>
      <w:r w:rsidRPr="00503A01">
        <w:rPr>
          <w:rFonts w:ascii="Times New Roman" w:eastAsia="Times New Roman" w:hAnsi="Times New Roman" w:cs="Times New Roman"/>
          <w:kern w:val="0"/>
          <w:sz w:val="24"/>
          <w:szCs w:val="24"/>
          <w14:ligatures w14:val="none"/>
        </w:rPr>
        <w:t>si dhe hetimin e ekzistencës së mundshme të një grupi të strukturuar kriminal, sipas neneve 28/4 dhe 333/a, ku pandëshkueshmëria e autorëve të dhunës mund të jetë synuar si përfitim jomaterial dhe pengimi i tubimeve si qëllim më i gjerë i veprimtarisë.</w:t>
      </w:r>
    </w:p>
    <w:p w14:paraId="7C163AC4" w14:textId="77777777" w:rsidR="0065052C" w:rsidRPr="00503A01" w:rsidRDefault="0065052C" w:rsidP="00FE0A0F">
      <w:pPr>
        <w:pStyle w:val="ListParagraph"/>
        <w:numPr>
          <w:ilvl w:val="0"/>
          <w:numId w:val="3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503A01">
        <w:rPr>
          <w:rFonts w:ascii="Times New Roman" w:eastAsia="Times New Roman" w:hAnsi="Times New Roman" w:cs="Times New Roman"/>
          <w:kern w:val="0"/>
          <w:sz w:val="24"/>
          <w:szCs w:val="24"/>
          <w14:ligatures w14:val="none"/>
        </w:rPr>
        <w:lastRenderedPageBreak/>
        <w:t>Hetimin nëse praktikat e dhunës, arrestimeve arbitrare, intimidimit, trajtimit degradues, kufizimit të lëvizjes së qytetarëve dhe pengimit të dokumentimit filmik kanë synuar, përtej pasojave të tyre individuale, krijimin e një efekti frikësues të përgjithshëm për të dekurajuar qytetarët nga pjesëmarrja në tubime paqësore, si dhe përcaktimin e rolit të mundshëm të secilit drejtues në organizimin ose zbatimin e këtij qëllimi.</w:t>
      </w:r>
    </w:p>
    <w:p w14:paraId="2B02A218"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617AA8AC" w14:textId="168297B4" w:rsidR="00AF5638"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Marrjen e menjëhershme të masave për ruajtjen dhe sigurimin e provave</w:t>
      </w:r>
      <w:r w:rsidRPr="00503A01">
        <w:rPr>
          <w:rFonts w:ascii="Times New Roman" w:hAnsi="Times New Roman" w:cs="Times New Roman"/>
          <w:sz w:val="24"/>
          <w:szCs w:val="24"/>
        </w:rPr>
        <w:t>, veçanërisht të regjistrimeve elektronike, pamjeve të kamerave publike dhe private, radiokomunikimeve, planeve operacionale, urdhrave, regjistrave të personelit dhe dokumentacionit që mundëson identifikimin individual të efektivëve dhe përcaktimin e zinxhirit komandues</w:t>
      </w:r>
      <w:r w:rsidR="003D6727" w:rsidRPr="00503A01">
        <w:rPr>
          <w:rFonts w:ascii="Times New Roman" w:hAnsi="Times New Roman" w:cs="Times New Roman"/>
          <w:sz w:val="24"/>
          <w:szCs w:val="24"/>
        </w:rPr>
        <w:t xml:space="preserve">, </w:t>
      </w:r>
      <w:r w:rsidR="003D6727" w:rsidRPr="00503A01">
        <w:rPr>
          <w:rFonts w:ascii="Times New Roman" w:hAnsi="Times New Roman" w:cs="Times New Roman"/>
          <w:sz w:val="24"/>
          <w:szCs w:val="24"/>
        </w:rPr>
        <w:t>si dhe të armëve, municioneve, predhave, fragmenteve, gëzhojave dhe dokumentacionit mjekësor të lidhur me episodet e qitjeve, për kryerjen e ekspertimeve përkatëse</w:t>
      </w:r>
      <w:r w:rsidR="003D6727" w:rsidRPr="00503A01">
        <w:rPr>
          <w:rFonts w:ascii="Times New Roman" w:hAnsi="Times New Roman" w:cs="Times New Roman"/>
          <w:sz w:val="24"/>
          <w:szCs w:val="24"/>
        </w:rPr>
        <w:t>.</w:t>
      </w:r>
    </w:p>
    <w:p w14:paraId="7206E5E8"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31ED50B8" w14:textId="1F11340F" w:rsidR="00AF5638"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Hetimin e praktikave të pengimit të dokumentimit filmik</w:t>
      </w:r>
      <w:r w:rsidRPr="00503A01">
        <w:rPr>
          <w:rFonts w:ascii="Times New Roman" w:hAnsi="Times New Roman" w:cs="Times New Roman"/>
          <w:sz w:val="24"/>
          <w:szCs w:val="24"/>
        </w:rPr>
        <w:t>, përfshirë largimin e pajustifikuar të gazetarëve dhe filmuesve amatorë, përdorimin eventualisht abuziv të perimetrave të sigurisë, marrjen e pajisjeve elektronike dhe fshirjen e pretenduar të regjistrimeve, për të përcaktuar nëse këto veprime kanë qenë të lidhura me qëllimin e shmangies së identifikimit dhe përgjegjësisë së autorëve.</w:t>
      </w:r>
    </w:p>
    <w:p w14:paraId="0CB6003E"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05AC8214" w14:textId="0DAEF9E8" w:rsidR="00AF5638"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Administrimin e materialeve të kallëzimeve dhe procedimeve të lidhura</w:t>
      </w:r>
      <w:r w:rsidRPr="00503A01">
        <w:rPr>
          <w:rFonts w:ascii="Times New Roman" w:hAnsi="Times New Roman" w:cs="Times New Roman"/>
          <w:sz w:val="24"/>
          <w:szCs w:val="24"/>
        </w:rPr>
        <w:t>, pranë prokurorive të juridiksionit të përgjithshëm, AMP-së dhe institucioneve të tjera kompetente, për të verifikuar nëse hetimet individuale kanë hasur pengesa konkrete për identifikimin e autorëve dhe nëse këto pengesa kanë ardhur nga praktikat objekt të këtij kallëzimi.</w:t>
      </w:r>
    </w:p>
    <w:p w14:paraId="0EB836C5"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23C46970" w14:textId="3D33FE86" w:rsidR="00AF5638"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Garantimin e pavarësisë dhe integritetit të hetimit</w:t>
      </w:r>
      <w:r w:rsidRPr="00503A01">
        <w:rPr>
          <w:rFonts w:ascii="Times New Roman" w:hAnsi="Times New Roman" w:cs="Times New Roman"/>
          <w:sz w:val="24"/>
          <w:szCs w:val="24"/>
        </w:rPr>
        <w:t>, duke shmangur që sigurimi, përzgjedhja dhe ruajtja e provave t'u mbetet ekskluzivisht strukturave ose personave që janë objekt i hetimit dhe duke përdorur, sipas kompetencës, hetuesit e Byrosë Kombëtare të Hetimit.</w:t>
      </w:r>
    </w:p>
    <w:p w14:paraId="17B76306" w14:textId="77777777" w:rsidR="009A3221" w:rsidRPr="00503A01" w:rsidRDefault="009A3221" w:rsidP="009A3221">
      <w:pPr>
        <w:pStyle w:val="ListParagraph"/>
        <w:spacing w:after="0" w:line="240" w:lineRule="auto"/>
        <w:jc w:val="both"/>
        <w:rPr>
          <w:rFonts w:ascii="Times New Roman" w:hAnsi="Times New Roman" w:cs="Times New Roman"/>
          <w:sz w:val="24"/>
          <w:szCs w:val="24"/>
        </w:rPr>
      </w:pPr>
    </w:p>
    <w:p w14:paraId="5D2298F6" w14:textId="4C19E01C" w:rsidR="00722E35" w:rsidRPr="00503A01" w:rsidRDefault="00722E35" w:rsidP="00FE0A0F">
      <w:pPr>
        <w:pStyle w:val="ListParagraph"/>
        <w:numPr>
          <w:ilvl w:val="0"/>
          <w:numId w:val="34"/>
        </w:numPr>
        <w:spacing w:after="0" w:line="240" w:lineRule="auto"/>
        <w:jc w:val="both"/>
        <w:rPr>
          <w:rFonts w:ascii="Times New Roman" w:hAnsi="Times New Roman" w:cs="Times New Roman"/>
          <w:sz w:val="24"/>
          <w:szCs w:val="24"/>
        </w:rPr>
      </w:pPr>
      <w:r w:rsidRPr="00503A01">
        <w:rPr>
          <w:rFonts w:ascii="Times New Roman" w:hAnsi="Times New Roman" w:cs="Times New Roman"/>
          <w:bCs/>
          <w:sz w:val="24"/>
          <w:szCs w:val="24"/>
        </w:rPr>
        <w:t>Vlerësimin e nevojës për masa sigurimi personal</w:t>
      </w:r>
      <w:r w:rsidRPr="00503A01">
        <w:rPr>
          <w:rFonts w:ascii="Times New Roman" w:hAnsi="Times New Roman" w:cs="Times New Roman"/>
          <w:sz w:val="24"/>
          <w:szCs w:val="24"/>
        </w:rPr>
        <w:t>, përfshirë pezullimin nga detyra të personave përkatës, nëse gjatë hetimeve sigurohen prova dhe evidentohen rreziqe konkrete për ndërhyrjen në prova, ndikimin mbi dëshmitarët ose përsëritjen e veprave penale, sipas kushteve të Kodit të Procedurës Penale.</w:t>
      </w:r>
    </w:p>
    <w:p w14:paraId="0C0867C7" w14:textId="77777777" w:rsidR="00AF5638" w:rsidRDefault="00AF5638" w:rsidP="00722E35">
      <w:pPr>
        <w:spacing w:after="0" w:line="240" w:lineRule="auto"/>
        <w:jc w:val="both"/>
        <w:rPr>
          <w:rFonts w:ascii="Times New Roman" w:hAnsi="Times New Roman" w:cs="Times New Roman"/>
          <w:b/>
          <w:bCs/>
          <w:sz w:val="24"/>
          <w:szCs w:val="24"/>
        </w:rPr>
      </w:pPr>
    </w:p>
    <w:p w14:paraId="3F7C873B" w14:textId="77777777" w:rsidR="00323849" w:rsidRDefault="00323849" w:rsidP="00722E35">
      <w:pPr>
        <w:spacing w:after="0" w:line="240" w:lineRule="auto"/>
        <w:jc w:val="both"/>
        <w:rPr>
          <w:rFonts w:ascii="Times New Roman" w:hAnsi="Times New Roman" w:cs="Times New Roman"/>
          <w:b/>
          <w:bCs/>
          <w:sz w:val="24"/>
          <w:szCs w:val="24"/>
        </w:rPr>
      </w:pPr>
    </w:p>
    <w:p w14:paraId="1428AFCA" w14:textId="4808CD05" w:rsidR="00076908" w:rsidRPr="00DB59C4" w:rsidRDefault="00076908" w:rsidP="00DB59C4">
      <w:pPr>
        <w:spacing w:after="0" w:line="240" w:lineRule="auto"/>
        <w:jc w:val="center"/>
        <w:rPr>
          <w:rFonts w:ascii="Times New Roman" w:hAnsi="Times New Roman" w:cs="Times New Roman"/>
          <w:b/>
          <w:sz w:val="24"/>
          <w:szCs w:val="24"/>
        </w:rPr>
      </w:pPr>
    </w:p>
    <w:sectPr w:rsidR="00076908" w:rsidRPr="00DB59C4" w:rsidSect="00A46CE8">
      <w:foot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B87D6" w14:textId="77777777" w:rsidR="00BF7C11" w:rsidRDefault="00BF7C11" w:rsidP="00ED591E">
      <w:pPr>
        <w:spacing w:after="0" w:line="240" w:lineRule="auto"/>
      </w:pPr>
      <w:r>
        <w:separator/>
      </w:r>
    </w:p>
  </w:endnote>
  <w:endnote w:type="continuationSeparator" w:id="0">
    <w:p w14:paraId="15B57DAE" w14:textId="77777777" w:rsidR="00BF7C11" w:rsidRDefault="00BF7C11" w:rsidP="00ED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499448"/>
      <w:docPartObj>
        <w:docPartGallery w:val="Page Numbers (Bottom of Page)"/>
        <w:docPartUnique/>
      </w:docPartObj>
    </w:sdtPr>
    <w:sdtEndPr>
      <w:rPr>
        <w:noProof/>
      </w:rPr>
    </w:sdtEndPr>
    <w:sdtContent>
      <w:p w14:paraId="0705D36E" w14:textId="050606A3" w:rsidR="00F9402C" w:rsidRDefault="00F940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446075" w14:textId="77777777" w:rsidR="00F9402C" w:rsidRDefault="00F94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1971A" w14:textId="77777777" w:rsidR="00BF7C11" w:rsidRDefault="00BF7C11" w:rsidP="00ED591E">
      <w:pPr>
        <w:spacing w:after="0" w:line="240" w:lineRule="auto"/>
      </w:pPr>
      <w:r>
        <w:separator/>
      </w:r>
    </w:p>
  </w:footnote>
  <w:footnote w:type="continuationSeparator" w:id="0">
    <w:p w14:paraId="439D33AD" w14:textId="77777777" w:rsidR="00BF7C11" w:rsidRDefault="00BF7C11" w:rsidP="00ED591E">
      <w:pPr>
        <w:spacing w:after="0" w:line="240" w:lineRule="auto"/>
      </w:pPr>
      <w:r>
        <w:continuationSeparator/>
      </w:r>
    </w:p>
  </w:footnote>
  <w:footnote w:id="1">
    <w:p w14:paraId="6C7E80ED" w14:textId="6D868C58" w:rsidR="00456483" w:rsidRPr="00503A01" w:rsidRDefault="00456483">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GJEDNJ, </w:t>
      </w:r>
      <w:r w:rsidRPr="00503A01">
        <w:rPr>
          <w:rFonts w:ascii="Times New Roman" w:hAnsi="Times New Roman" w:cs="Times New Roman"/>
          <w:i/>
          <w:iCs/>
        </w:rPr>
        <w:t>Dedovskiy and Others v. Russia</w:t>
      </w:r>
      <w:r w:rsidRPr="00503A01">
        <w:rPr>
          <w:rFonts w:ascii="Times New Roman" w:hAnsi="Times New Roman" w:cs="Times New Roman"/>
        </w:rPr>
        <w:t>, kërkesa nr. 7178/03, vendim i datës 15 maj 2008, § 91.</w:t>
      </w:r>
    </w:p>
  </w:footnote>
  <w:footnote w:id="2">
    <w:p w14:paraId="4FE0AA97" w14:textId="33C6AAB6" w:rsidR="00456483" w:rsidRPr="00503A01" w:rsidRDefault="00456483">
      <w:pPr>
        <w:pStyle w:val="FootnoteText"/>
        <w:rPr>
          <w:rFonts w:ascii="Times New Roman" w:hAnsi="Times New Roman" w:cs="Times New Roman"/>
        </w:rPr>
      </w:pPr>
      <w:r w:rsidRPr="00503A01">
        <w:rPr>
          <w:rFonts w:ascii="Times New Roman" w:hAnsi="Times New Roman" w:cs="Times New Roman"/>
        </w:rPr>
        <w:t xml:space="preserve">² GJEDNJ, Dhoma e Madhe, </w:t>
      </w:r>
      <w:r w:rsidRPr="00503A01">
        <w:rPr>
          <w:rFonts w:ascii="Times New Roman" w:hAnsi="Times New Roman" w:cs="Times New Roman"/>
          <w:i/>
          <w:iCs/>
        </w:rPr>
        <w:t>Tsaava and Others v. Georgia</w:t>
      </w:r>
      <w:r w:rsidRPr="00503A01">
        <w:rPr>
          <w:rFonts w:ascii="Times New Roman" w:hAnsi="Times New Roman" w:cs="Times New Roman"/>
        </w:rPr>
        <w:t>, kërkesat nr. 13186/20 dhe katër të tjera, vendim i datës 11 dhjetor 2025, § 296.</w:t>
      </w:r>
    </w:p>
  </w:footnote>
  <w:footnote w:id="3">
    <w:p w14:paraId="7E3C2E24" w14:textId="70AEF580" w:rsidR="007571B5" w:rsidRPr="00503A01" w:rsidRDefault="007571B5">
      <w:pPr>
        <w:pStyle w:val="FootnoteText"/>
        <w:rPr>
          <w:rFonts w:ascii="Times New Roman" w:hAnsi="Times New Roman" w:cs="Times New Roman"/>
          <w:lang w:val="de-AT"/>
        </w:rPr>
      </w:pPr>
      <w:r w:rsidRPr="00503A01">
        <w:rPr>
          <w:rStyle w:val="FootnoteReference"/>
          <w:rFonts w:ascii="Times New Roman" w:hAnsi="Times New Roman" w:cs="Times New Roman"/>
        </w:rPr>
        <w:footnoteRef/>
      </w:r>
      <w:r w:rsidRPr="00503A01">
        <w:rPr>
          <w:rFonts w:ascii="Times New Roman" w:hAnsi="Times New Roman" w:cs="Times New Roman"/>
          <w:lang w:val="de-AT"/>
        </w:rPr>
        <w:t xml:space="preserve"> GJEDNJ, </w:t>
      </w:r>
      <w:r w:rsidRPr="00503A01">
        <w:rPr>
          <w:rFonts w:ascii="Times New Roman" w:hAnsi="Times New Roman" w:cs="Times New Roman"/>
          <w:i/>
          <w:iCs/>
          <w:lang w:val="de-AT"/>
        </w:rPr>
        <w:t xml:space="preserve">Hentschel dhe </w:t>
      </w:r>
      <w:proofErr w:type="gramStart"/>
      <w:r w:rsidRPr="00503A01">
        <w:rPr>
          <w:rFonts w:ascii="Times New Roman" w:hAnsi="Times New Roman" w:cs="Times New Roman"/>
          <w:i/>
          <w:iCs/>
          <w:lang w:val="de-AT"/>
        </w:rPr>
        <w:t>Stark</w:t>
      </w:r>
      <w:proofErr w:type="gramEnd"/>
      <w:r w:rsidRPr="00503A01">
        <w:rPr>
          <w:rFonts w:ascii="Times New Roman" w:hAnsi="Times New Roman" w:cs="Times New Roman"/>
          <w:i/>
          <w:iCs/>
          <w:lang w:val="de-AT"/>
        </w:rPr>
        <w:t xml:space="preserve"> kundër Gjermanisë</w:t>
      </w:r>
      <w:r w:rsidRPr="00503A01">
        <w:rPr>
          <w:rFonts w:ascii="Times New Roman" w:hAnsi="Times New Roman" w:cs="Times New Roman"/>
          <w:lang w:val="de-AT"/>
        </w:rPr>
        <w:t>, vendim i 09.11.2017, kërkesa nr. 47274/15, §§ 90–93</w:t>
      </w:r>
    </w:p>
  </w:footnote>
  <w:footnote w:id="4">
    <w:p w14:paraId="7015839A" w14:textId="330F167A" w:rsidR="00E94A29" w:rsidRPr="00503A01" w:rsidRDefault="00E94A29">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lang w:val="de-AT"/>
        </w:rPr>
        <w:t xml:space="preserve"> Avokati i Popullit, “Komunikim publik mbi gjetjet paraprake gjatë monitorimit të protestave”, 16.10.2026. </w:t>
      </w:r>
      <w:hyperlink r:id="rId1" w:history="1">
        <w:r w:rsidR="006E191A" w:rsidRPr="00503A01">
          <w:rPr>
            <w:rStyle w:val="Hyperlink"/>
            <w:rFonts w:ascii="Times New Roman" w:hAnsi="Times New Roman" w:cs="Times New Roman"/>
          </w:rPr>
          <w:t>https://www.avokatipopullit.gov.al/sq/articles-layout-1/media/news/public-statement-by-the-ombudsman-endrit-shabani-regarding-preliminary-findings-from-the-monitoring-of-protests-1380/</w:t>
        </w:r>
      </w:hyperlink>
    </w:p>
  </w:footnote>
  <w:footnote w:id="5">
    <w:p w14:paraId="47E21C6B" w14:textId="3A4AF33A" w:rsidR="00E94A29" w:rsidRPr="00503A01" w:rsidRDefault="00E94A29">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Avokati i Popullit, “Komunikim me median për gjetjet nga monitorimi i protestës së 19 tetorit 2026”, publikuar më 20.10.2026. </w:t>
      </w:r>
      <w:hyperlink r:id="rId2" w:history="1">
        <w:r w:rsidR="006E191A" w:rsidRPr="00503A01">
          <w:rPr>
            <w:rStyle w:val="Hyperlink"/>
            <w:rFonts w:ascii="Times New Roman" w:hAnsi="Times New Roman" w:cs="Times New Roman"/>
          </w:rPr>
          <w:t>https://www.avokatipopullit.gov.al/sq/articles-layout-1/home/news/commissioner-ahmet-preni-communication-with-the-media-regarding-findings-from-the-monitoring-of-the-october-19-2026-protest-1382/</w:t>
        </w:r>
      </w:hyperlink>
    </w:p>
  </w:footnote>
  <w:footnote w:id="6">
    <w:p w14:paraId="3D1D8806" w14:textId="0F697010" w:rsidR="00E025DD" w:rsidRPr="00503A01" w:rsidRDefault="00E025DD">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GJEDNJ, </w:t>
      </w:r>
      <w:r w:rsidRPr="00503A01">
        <w:rPr>
          <w:rFonts w:ascii="Times New Roman" w:hAnsi="Times New Roman" w:cs="Times New Roman"/>
          <w:i/>
          <w:iCs/>
        </w:rPr>
        <w:t>Dedovskiy and Others kundër Rusisë</w:t>
      </w:r>
      <w:r w:rsidRPr="00503A01">
        <w:rPr>
          <w:rFonts w:ascii="Times New Roman" w:hAnsi="Times New Roman" w:cs="Times New Roman"/>
        </w:rPr>
        <w:t>, vendim i 15.05.2008, kërkesa nr. 7178/03, veçanërisht § 91.</w:t>
      </w:r>
    </w:p>
  </w:footnote>
  <w:footnote w:id="7">
    <w:p w14:paraId="5805BBA8" w14:textId="767BD46C" w:rsidR="003F6A43" w:rsidRPr="00503A01" w:rsidRDefault="003F6A43">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OSBE/ODIHR dhe Komisioni i Venecias, </w:t>
      </w:r>
      <w:r w:rsidRPr="00503A01">
        <w:rPr>
          <w:rFonts w:ascii="Times New Roman" w:hAnsi="Times New Roman" w:cs="Times New Roman"/>
          <w:i/>
          <w:iCs/>
        </w:rPr>
        <w:t>Guidelines on Freedom of Peaceful Assembly</w:t>
      </w:r>
      <w:r w:rsidRPr="00503A01">
        <w:rPr>
          <w:rFonts w:ascii="Times New Roman" w:hAnsi="Times New Roman" w:cs="Times New Roman"/>
        </w:rPr>
        <w:t xml:space="preserve">, botimi i dytë, 2010, §§ 168–169. </w:t>
      </w:r>
      <w:hyperlink r:id="rId3" w:history="1">
        <w:r w:rsidRPr="00503A01">
          <w:rPr>
            <w:rStyle w:val="Hyperlink"/>
            <w:rFonts w:ascii="Times New Roman" w:hAnsi="Times New Roman" w:cs="Times New Roman"/>
          </w:rPr>
          <w:t>https://odihr.osce.org/odihr/73405</w:t>
        </w:r>
      </w:hyperlink>
    </w:p>
  </w:footnote>
  <w:footnote w:id="8">
    <w:p w14:paraId="23BF6595" w14:textId="22FC668E" w:rsidR="00A35D52" w:rsidRPr="00503A01" w:rsidRDefault="00A35D52">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OSBE/ODIHR, </w:t>
      </w:r>
      <w:r w:rsidRPr="00503A01">
        <w:rPr>
          <w:rFonts w:ascii="Times New Roman" w:hAnsi="Times New Roman" w:cs="Times New Roman"/>
          <w:i/>
          <w:iCs/>
        </w:rPr>
        <w:t>The Right to Monitor Assemblies in the OSCE Region: Experiences from the Field</w:t>
      </w:r>
      <w:r w:rsidRPr="00503A01">
        <w:rPr>
          <w:rFonts w:ascii="Times New Roman" w:hAnsi="Times New Roman" w:cs="Times New Roman"/>
        </w:rPr>
        <w:t xml:space="preserve">, 07.10.2024. </w:t>
      </w:r>
      <w:hyperlink r:id="rId4" w:history="1">
        <w:r w:rsidRPr="00503A01">
          <w:rPr>
            <w:rStyle w:val="Hyperlink"/>
            <w:rFonts w:ascii="Times New Roman" w:hAnsi="Times New Roman" w:cs="Times New Roman"/>
          </w:rPr>
          <w:t>https://odihr.osce.org/odihr/576672</w:t>
        </w:r>
      </w:hyperlink>
    </w:p>
  </w:footnote>
  <w:footnote w:id="9">
    <w:p w14:paraId="7BB32BF1" w14:textId="270D9FE2" w:rsidR="007E3C58" w:rsidRPr="00503A01" w:rsidRDefault="007E3C58">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Avokati i Popullit, “Komunikimi me mediat për gjetjet nga monitorimi i protestës së datës 20 tetor”, publikuar më 21.10.2026. </w:t>
      </w:r>
      <w:hyperlink r:id="rId5" w:history="1">
        <w:r w:rsidR="006E191A" w:rsidRPr="00503A01">
          <w:rPr>
            <w:rStyle w:val="Hyperlink"/>
            <w:rFonts w:ascii="Times New Roman" w:hAnsi="Times New Roman" w:cs="Times New Roman"/>
          </w:rPr>
          <w:t>https://www.avokatipopullit.gov.al/sq/articles-layout-1/home/news/communication-with-the-media-delivered-by-commissioner-ahmet-preni-regarding-the-findings-from-the-monitoring-of-the-protest-on-october-20th-1383/</w:t>
        </w:r>
      </w:hyperlink>
    </w:p>
  </w:footnote>
  <w:footnote w:id="10">
    <w:p w14:paraId="262C790B" w14:textId="1749A073" w:rsidR="00D51C3D" w:rsidRPr="00503A01" w:rsidRDefault="00D51C3D">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Policia e Shtetit, “Drejtori i Përgjithshëm i Policisë së Shtetit, Drejtues Madhor Skënder Hita, konferencë për median”, datë 17.10.2026, publikuar më 19.10.2026. </w:t>
      </w:r>
      <w:hyperlink r:id="rId6" w:history="1">
        <w:r w:rsidRPr="00503A01">
          <w:rPr>
            <w:rStyle w:val="Hyperlink"/>
            <w:rFonts w:ascii="Times New Roman" w:hAnsi="Times New Roman" w:cs="Times New Roman"/>
          </w:rPr>
          <w:t>https://asp.gov.al/drejtori-i-pergjithshem-i-policise-se-shtetit-drejtues-madhor-skender-hita-konference-per-median/</w:t>
        </w:r>
      </w:hyperlink>
    </w:p>
  </w:footnote>
  <w:footnote w:id="11">
    <w:p w14:paraId="2C3D6CE4" w14:textId="064DF980" w:rsidR="00084B46" w:rsidRPr="00503A01" w:rsidRDefault="00084B46">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Policia e Shtetit, “Policia e Shtetit, plan masash për garantimin e sigurisë gjatë vizitës së presidentit Erdoğan”, 03.09.2026. </w:t>
      </w:r>
      <w:hyperlink r:id="rId7" w:history="1">
        <w:r w:rsidRPr="00503A01">
          <w:rPr>
            <w:rStyle w:val="Hyperlink"/>
            <w:rFonts w:ascii="Times New Roman" w:hAnsi="Times New Roman" w:cs="Times New Roman"/>
          </w:rPr>
          <w:t>https://asp.gov.al/policia-e-shtetit-plan-masash-per-garantimin-e-sigurise-gjate-vizites-se-presidentit-erdogan/</w:t>
        </w:r>
      </w:hyperlink>
    </w:p>
  </w:footnote>
  <w:footnote w:id="12">
    <w:p w14:paraId="7A0E038C" w14:textId="49B4EBFD" w:rsidR="00D0613C" w:rsidRPr="00503A01" w:rsidRDefault="00D0613C">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Policia e Shtetit, Drejtori i Departamentit për Sigurinë Publike, Dhimitraq Ziu, konferencë për median, 16.10.2026. </w:t>
      </w:r>
      <w:hyperlink r:id="rId8" w:history="1">
        <w:r w:rsidRPr="00503A01">
          <w:rPr>
            <w:rStyle w:val="Hyperlink"/>
            <w:rFonts w:ascii="Times New Roman" w:hAnsi="Times New Roman" w:cs="Times New Roman"/>
          </w:rPr>
          <w:t>https://asp.gov.al/drejtori-i-departamentit-per-sigurine-publike-drejtues-i-larte-dhimitraq-ziu-konference-per-median-ne-lidhje-me-veprimet-hetimore-dhe-policore-te-kryera-ne-lidhje-me-protestat-e-dhunshme-te-diteve/</w:t>
        </w:r>
      </w:hyperlink>
    </w:p>
  </w:footnote>
  <w:footnote w:id="13">
    <w:p w14:paraId="589EF964" w14:textId="6B44910A" w:rsidR="0046705C" w:rsidRPr="00503A01" w:rsidRDefault="0046705C">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Shqiptarja.com, raportime mbi ndërhyrjet policore në Shkodër dhe lirimin e personave të shoqëruar, 15–17.10.2026. </w:t>
      </w:r>
      <w:hyperlink r:id="rId9" w:history="1">
        <w:r w:rsidRPr="00503A01">
          <w:rPr>
            <w:rStyle w:val="Hyperlink"/>
            <w:rFonts w:ascii="Times New Roman" w:hAnsi="Times New Roman" w:cs="Times New Roman"/>
          </w:rPr>
          <w:t>https://shqiptarja.com/lajm/lirohen-protestuesit-e-shoqeruar-ne-shkoder-djegin-koshat-e-mbeturinave-ne-rruge-nisen-drejt-bashkise</w:t>
        </w:r>
      </w:hyperlink>
    </w:p>
  </w:footnote>
  <w:footnote w:id="14">
    <w:p w14:paraId="47D0ADD1" w14:textId="424012C1" w:rsidR="0046705C" w:rsidRPr="00503A01" w:rsidRDefault="0046705C">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Policia e Shtetit, Drejtoria Vendore e Policisë Vlorë, reagim zyrtar mbi ndërhyrjen në Universitetin “Ismail Qemali”, 19.10.2026. </w:t>
      </w:r>
      <w:hyperlink r:id="rId10" w:history="1">
        <w:r w:rsidRPr="00503A01">
          <w:rPr>
            <w:rStyle w:val="Hyperlink"/>
            <w:rFonts w:ascii="Times New Roman" w:hAnsi="Times New Roman" w:cs="Times New Roman"/>
          </w:rPr>
          <w:t>https://asp.gov.al/reagim-i-drejtorise-vendore-te-policise-vlore-11/</w:t>
        </w:r>
      </w:hyperlink>
    </w:p>
  </w:footnote>
  <w:footnote w:id="15">
    <w:p w14:paraId="135AE659" w14:textId="2B0CDDBD" w:rsidR="0046705C" w:rsidRPr="00503A01" w:rsidRDefault="0046705C">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Avokati i Popullit, “Komunikim publik mbi gjetjet paraprake gjatë monitorimit të protestave”, 16.10.2026. </w:t>
      </w:r>
      <w:hyperlink r:id="rId11" w:history="1">
        <w:r w:rsidRPr="00503A01">
          <w:rPr>
            <w:rStyle w:val="Hyperlink"/>
            <w:rFonts w:ascii="Times New Roman" w:hAnsi="Times New Roman" w:cs="Times New Roman"/>
          </w:rPr>
          <w:t>https://avokatipopullit.gov.al/sq/articles-layout-1/home/ne</w:t>
        </w:r>
        <w:r w:rsidR="00F11591" w:rsidRPr="00503A01">
          <w:rPr>
            <w:rStyle w:val="Hyperlink"/>
            <w:rFonts w:ascii="Times New Roman" w:hAnsi="Times New Roman" w:cs="Times New Roman"/>
          </w:rPr>
          <w:t>ë</w:t>
        </w:r>
        <w:r w:rsidRPr="00503A01">
          <w:rPr>
            <w:rStyle w:val="Hyperlink"/>
            <w:rFonts w:ascii="Times New Roman" w:hAnsi="Times New Roman" w:cs="Times New Roman"/>
          </w:rPr>
          <w:t>s/public-statement-by-the-ombudsman-endrit-shabani-regarding-preliminary-findings-from-the-monitoring-of-protests-1380/</w:t>
        </w:r>
      </w:hyperlink>
    </w:p>
  </w:footnote>
  <w:footnote w:id="16">
    <w:p w14:paraId="4A089C0E" w14:textId="2EC3423B" w:rsidR="00936345" w:rsidRPr="00503A01" w:rsidRDefault="00936345">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Policia e Shtetit, “Drejtori i Përgjithshëm i Policisë së Shtetit, Drejtues Madhor Skënder Hita, konferencë për median”, 17.10.2026, publikuar më 19.10.2026. </w:t>
      </w:r>
      <w:hyperlink r:id="rId12" w:history="1">
        <w:r w:rsidRPr="00503A01">
          <w:rPr>
            <w:rStyle w:val="Hyperlink"/>
            <w:rFonts w:ascii="Times New Roman" w:hAnsi="Times New Roman" w:cs="Times New Roman"/>
          </w:rPr>
          <w:t>https://asp.gov.al/drejtori-i-pergjithshem-i-policise-se-shtetit-drejtues-madhor-skender-hita-konference-per-median/</w:t>
        </w:r>
      </w:hyperlink>
    </w:p>
  </w:footnote>
  <w:footnote w:id="17">
    <w:p w14:paraId="6DAD7797" w14:textId="06E926BE" w:rsidR="00065CC1" w:rsidRPr="00503A01" w:rsidRDefault="00065CC1">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Këshilli i Ministrave, vendim i datës 19.10.2026, “Për dhënie shpërblimi punonjësve të Policisë së Shtetit dhe për një shtesë në buxhetin e Ministrisë së Punëve të Brendshme, miratuar për vitin 2026”, pikat 1–5. </w:t>
      </w:r>
      <w:hyperlink r:id="rId13" w:history="1">
        <w:r w:rsidR="006E191A" w:rsidRPr="00503A01">
          <w:rPr>
            <w:rStyle w:val="Hyperlink"/>
            <w:rFonts w:ascii="Times New Roman" w:hAnsi="Times New Roman" w:cs="Times New Roman"/>
          </w:rPr>
          <w:t>https://www.kryeministria.al/newsroom/vendim-i-miratuar-ne-mbledhjen-e-keshillit-te-ministrave-date-19-tetor-2026/</w:t>
        </w:r>
      </w:hyperlink>
    </w:p>
  </w:footnote>
  <w:footnote w:id="18">
    <w:p w14:paraId="54680C36" w14:textId="4AC2F929" w:rsidR="00A84A46" w:rsidRPr="00503A01" w:rsidRDefault="00A84A46">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Avokati i Popullit, “Komunikim publik mbi gjetjet paraprake gjatë monitorimit të protestave”, 16.10.2026. </w:t>
      </w:r>
      <w:hyperlink r:id="rId14" w:history="1">
        <w:r w:rsidR="006E191A" w:rsidRPr="00503A01">
          <w:rPr>
            <w:rStyle w:val="Hyperlink"/>
            <w:rFonts w:ascii="Times New Roman" w:hAnsi="Times New Roman" w:cs="Times New Roman"/>
          </w:rPr>
          <w:t>https://www.avokatipopullit.gov.al/sq/articles-layout-1/media/news/public-statement-by-the-ombudsman-endrit-shabani-regarding-preliminary-findings-from-the-monitoring-of-protests-1380/</w:t>
        </w:r>
      </w:hyperlink>
    </w:p>
  </w:footnote>
  <w:footnote w:id="19">
    <w:p w14:paraId="6C831450" w14:textId="625B2F0F" w:rsidR="00A84A46" w:rsidRPr="00503A01" w:rsidRDefault="00A84A46">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Policia e Shtetit, “Drejtori i Përgjithshëm i Policisë së Shtetit, Drejtues Madhor Skënder Hita, konferencë për median”, 17.10.2026, publikuar më 19.10.2026. </w:t>
      </w:r>
      <w:hyperlink r:id="rId15" w:history="1">
        <w:r w:rsidRPr="00503A01">
          <w:rPr>
            <w:rStyle w:val="Hyperlink"/>
            <w:rFonts w:ascii="Times New Roman" w:hAnsi="Times New Roman" w:cs="Times New Roman"/>
          </w:rPr>
          <w:t>https://asp.gov.al/drejtori-i-pergjithshem-i-policise-se-shtetit-drejtues-madhor-skender-hita-konference-per-median/</w:t>
        </w:r>
      </w:hyperlink>
    </w:p>
  </w:footnote>
  <w:footnote w:id="20">
    <w:p w14:paraId="5C5863B1" w14:textId="153DFF95" w:rsidR="00BC2FBF" w:rsidRPr="00503A01" w:rsidRDefault="00BC2FBF">
      <w:pPr>
        <w:pStyle w:val="FootnoteText"/>
        <w:rPr>
          <w:rFonts w:ascii="Times New Roman" w:hAnsi="Times New Roman" w:cs="Times New Roman"/>
          <w:lang w:val="de-AT"/>
        </w:rPr>
      </w:pPr>
      <w:r w:rsidRPr="00503A01">
        <w:rPr>
          <w:rStyle w:val="FootnoteReference"/>
          <w:rFonts w:ascii="Times New Roman" w:hAnsi="Times New Roman" w:cs="Times New Roman"/>
        </w:rPr>
        <w:footnoteRef/>
      </w:r>
      <w:r w:rsidRPr="00503A01">
        <w:rPr>
          <w:rFonts w:ascii="Times New Roman" w:hAnsi="Times New Roman" w:cs="Times New Roman"/>
        </w:rPr>
        <w:t xml:space="preserve"> Avokati i Popullit, komunikimet mbi monitorimin e protestave, 20–21.10.2026. </w:t>
      </w:r>
      <w:hyperlink r:id="rId16" w:history="1">
        <w:r w:rsidR="006E191A" w:rsidRPr="00503A01">
          <w:rPr>
            <w:rStyle w:val="Hyperlink"/>
            <w:rFonts w:ascii="Times New Roman" w:hAnsi="Times New Roman" w:cs="Times New Roman"/>
            <w:lang w:val="de-AT"/>
          </w:rPr>
          <w:t>https://www.avokatipopullit.gov.al/sq/articles-layout-1/home/news/commissioner-ahmet-preni-communication-with-the-media-regarding-findings-from-the-monitoring-of-the-october-19-2026-protest-1382/</w:t>
        </w:r>
      </w:hyperlink>
      <w:r w:rsidRPr="00503A01">
        <w:rPr>
          <w:rFonts w:ascii="Times New Roman" w:hAnsi="Times New Roman" w:cs="Times New Roman"/>
          <w:lang w:val="de-AT"/>
        </w:rPr>
        <w:t xml:space="preserve">, si dhe </w:t>
      </w:r>
      <w:hyperlink r:id="rId17" w:history="1">
        <w:r w:rsidR="006E191A" w:rsidRPr="00503A01">
          <w:rPr>
            <w:rStyle w:val="Hyperlink"/>
            <w:rFonts w:ascii="Times New Roman" w:hAnsi="Times New Roman" w:cs="Times New Roman"/>
            <w:lang w:val="de-AT"/>
          </w:rPr>
          <w:t>https://www.avokatipopullit.gov.al/sq/articles-layout-1/home/news/communication-ëith-the-media-delivered-by-commissioner-ahmet-preni-regarding-the-findings-from-the-monitoring-of-the-protest-on-october-20th-1383/</w:t>
        </w:r>
      </w:hyperlink>
    </w:p>
  </w:footnote>
  <w:footnote w:id="21">
    <w:p w14:paraId="0C217884" w14:textId="4F906225" w:rsidR="009C2C9D" w:rsidRPr="00503A01" w:rsidRDefault="009C2C9D">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Këshilli i Ministrave, vendim i datës 19.10.2026, “Për dhënie shpërblimi punonjësve të Policisë së Shtetit dhe për një shtesë në buxhetin e Ministrisë së Punëve të Brendshme, miratuar për vitin 2026”. </w:t>
      </w:r>
      <w:hyperlink r:id="rId18" w:history="1">
        <w:r w:rsidR="006E191A" w:rsidRPr="00503A01">
          <w:rPr>
            <w:rStyle w:val="Hyperlink"/>
            <w:rFonts w:ascii="Times New Roman" w:hAnsi="Times New Roman" w:cs="Times New Roman"/>
          </w:rPr>
          <w:t>https://www.kryeministria.al/newsroom/vendim-i-miratuar-ne-mbledhjen-e-keshillit-te-ministrave-date-19-tetor-2026/</w:t>
        </w:r>
      </w:hyperlink>
    </w:p>
  </w:footnote>
  <w:footnote w:id="22">
    <w:p w14:paraId="58DC9FAA" w14:textId="6784847B" w:rsidR="00C95434" w:rsidRPr="00503A01" w:rsidRDefault="00C95434">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w:t>
      </w:r>
      <w:r w:rsidR="00EF5C69" w:rsidRPr="00503A01">
        <w:rPr>
          <w:rFonts w:ascii="Times New Roman" w:hAnsi="Times New Roman" w:cs="Times New Roman"/>
        </w:rPr>
        <w:t xml:space="preserve">OHCHR, </w:t>
      </w:r>
      <w:r w:rsidR="00FD5F38" w:rsidRPr="00503A01">
        <w:rPr>
          <w:rFonts w:ascii="Times New Roman" w:hAnsi="Times New Roman" w:cs="Times New Roman"/>
        </w:rPr>
        <w:t xml:space="preserve">Guidance on less-lethal </w:t>
      </w:r>
      <w:r w:rsidR="006E191A" w:rsidRPr="00503A01">
        <w:rPr>
          <w:rFonts w:ascii="Times New Roman" w:hAnsi="Times New Roman" w:cs="Times New Roman"/>
        </w:rPr>
        <w:t>w</w:t>
      </w:r>
      <w:r w:rsidR="00FD5F38" w:rsidRPr="00503A01">
        <w:rPr>
          <w:rFonts w:ascii="Times New Roman" w:hAnsi="Times New Roman" w:cs="Times New Roman"/>
        </w:rPr>
        <w:t>eapons in la</w:t>
      </w:r>
      <w:r w:rsidR="005B79B4" w:rsidRPr="00503A01">
        <w:rPr>
          <w:rFonts w:ascii="Times New Roman" w:hAnsi="Times New Roman" w:cs="Times New Roman"/>
        </w:rPr>
        <w:t>ë</w:t>
      </w:r>
      <w:r w:rsidR="00FD5F38" w:rsidRPr="00503A01">
        <w:rPr>
          <w:rFonts w:ascii="Times New Roman" w:hAnsi="Times New Roman" w:cs="Times New Roman"/>
        </w:rPr>
        <w:t xml:space="preserve"> enforcement</w:t>
      </w:r>
      <w:r w:rsidR="0016060C" w:rsidRPr="00503A01">
        <w:rPr>
          <w:rFonts w:ascii="Times New Roman" w:hAnsi="Times New Roman" w:cs="Times New Roman"/>
        </w:rPr>
        <w:t>,</w:t>
      </w:r>
      <w:r w:rsidR="00FD5F38" w:rsidRPr="00503A01">
        <w:rPr>
          <w:rFonts w:ascii="Times New Roman" w:hAnsi="Times New Roman" w:cs="Times New Roman"/>
        </w:rPr>
        <w:t xml:space="preserve"> §</w:t>
      </w:r>
      <w:r w:rsidR="0016060C" w:rsidRPr="00503A01">
        <w:rPr>
          <w:rFonts w:ascii="Times New Roman" w:hAnsi="Times New Roman" w:cs="Times New Roman"/>
        </w:rPr>
        <w:t xml:space="preserve">§ 7.5.3 dhe 7.5.8, </w:t>
      </w:r>
      <w:r w:rsidR="0083344E" w:rsidRPr="00503A01">
        <w:rPr>
          <w:rFonts w:ascii="Times New Roman" w:hAnsi="Times New Roman" w:cs="Times New Roman"/>
        </w:rPr>
        <w:t xml:space="preserve"> </w:t>
      </w:r>
      <w:hyperlink r:id="rId19" w:history="1">
        <w:r w:rsidR="006E191A" w:rsidRPr="00503A01">
          <w:rPr>
            <w:rStyle w:val="Hyperlink"/>
            <w:rFonts w:ascii="Times New Roman" w:hAnsi="Times New Roman" w:cs="Times New Roman"/>
          </w:rPr>
          <w:t>https://</w:t>
        </w:r>
        <w:r w:rsidR="006E191A" w:rsidRPr="00503A01">
          <w:rPr>
            <w:rStyle w:val="Hyperlink"/>
            <w:rFonts w:ascii="Times New Roman" w:hAnsi="Times New Roman" w:cs="Times New Roman"/>
          </w:rPr>
          <w:t>www</w:t>
        </w:r>
        <w:r w:rsidR="006E191A" w:rsidRPr="00503A01">
          <w:rPr>
            <w:rStyle w:val="Hyperlink"/>
            <w:rFonts w:ascii="Times New Roman" w:hAnsi="Times New Roman" w:cs="Times New Roman"/>
          </w:rPr>
          <w:t>.ohchr.org/sites/default/files/Documents/HRBodies/CCPR/LL</w:t>
        </w:r>
        <w:r w:rsidR="006E191A" w:rsidRPr="00503A01">
          <w:rPr>
            <w:rStyle w:val="Hyperlink"/>
            <w:rFonts w:ascii="Times New Roman" w:hAnsi="Times New Roman" w:cs="Times New Roman"/>
          </w:rPr>
          <w:t>W</w:t>
        </w:r>
        <w:r w:rsidR="006E191A" w:rsidRPr="00503A01">
          <w:rPr>
            <w:rStyle w:val="Hyperlink"/>
            <w:rFonts w:ascii="Times New Roman" w:hAnsi="Times New Roman" w:cs="Times New Roman"/>
          </w:rPr>
          <w:t>_Guidance.pd</w:t>
        </w:r>
        <w:r w:rsidR="006E191A" w:rsidRPr="00503A01">
          <w:rPr>
            <w:rStyle w:val="Hyperlink"/>
            <w:rFonts w:ascii="Times New Roman" w:hAnsi="Times New Roman" w:cs="Times New Roman"/>
          </w:rPr>
          <w:t>f</w:t>
        </w:r>
      </w:hyperlink>
      <w:r w:rsidR="0016060C" w:rsidRPr="00503A01">
        <w:rPr>
          <w:rFonts w:ascii="Times New Roman" w:hAnsi="Times New Roman" w:cs="Times New Roman"/>
        </w:rPr>
        <w:t xml:space="preserve"> </w:t>
      </w:r>
    </w:p>
  </w:footnote>
  <w:footnote w:id="23">
    <w:p w14:paraId="17E9798A" w14:textId="7586F45D" w:rsidR="007F3B5B" w:rsidRPr="006E191A" w:rsidRDefault="007F3B5B">
      <w:pPr>
        <w:pStyle w:val="FootnoteText"/>
        <w:rPr>
          <w:rFonts w:ascii="Times New Roman" w:hAnsi="Times New Roman" w:cs="Times New Roman"/>
        </w:rPr>
      </w:pPr>
      <w:r w:rsidRPr="00503A01">
        <w:rPr>
          <w:rStyle w:val="FootnoteReference"/>
          <w:rFonts w:ascii="Times New Roman" w:hAnsi="Times New Roman" w:cs="Times New Roman"/>
        </w:rPr>
        <w:footnoteRef/>
      </w:r>
      <w:r w:rsidRPr="00503A01">
        <w:rPr>
          <w:rFonts w:ascii="Times New Roman" w:hAnsi="Times New Roman" w:cs="Times New Roman"/>
        </w:rPr>
        <w:t xml:space="preserve"> Paneli K</w:t>
      </w:r>
      <w:r w:rsidR="005B79B4" w:rsidRPr="00503A01">
        <w:rPr>
          <w:rFonts w:ascii="Times New Roman" w:hAnsi="Times New Roman" w:cs="Times New Roman"/>
        </w:rPr>
        <w:t>ë</w:t>
      </w:r>
      <w:r w:rsidRPr="00503A01">
        <w:rPr>
          <w:rFonts w:ascii="Times New Roman" w:hAnsi="Times New Roman" w:cs="Times New Roman"/>
        </w:rPr>
        <w:t>shill</w:t>
      </w:r>
      <w:r w:rsidR="005B79B4" w:rsidRPr="00503A01">
        <w:rPr>
          <w:rFonts w:ascii="Times New Roman" w:hAnsi="Times New Roman" w:cs="Times New Roman"/>
        </w:rPr>
        <w:t>ë</w:t>
      </w:r>
      <w:r w:rsidRPr="00503A01">
        <w:rPr>
          <w:rFonts w:ascii="Times New Roman" w:hAnsi="Times New Roman" w:cs="Times New Roman"/>
        </w:rPr>
        <w:t>dh</w:t>
      </w:r>
      <w:r w:rsidR="005B79B4" w:rsidRPr="00503A01">
        <w:rPr>
          <w:rFonts w:ascii="Times New Roman" w:hAnsi="Times New Roman" w:cs="Times New Roman"/>
        </w:rPr>
        <w:t>ë</w:t>
      </w:r>
      <w:r w:rsidRPr="00503A01">
        <w:rPr>
          <w:rFonts w:ascii="Times New Roman" w:hAnsi="Times New Roman" w:cs="Times New Roman"/>
        </w:rPr>
        <w:t>n</w:t>
      </w:r>
      <w:r w:rsidR="005B79B4" w:rsidRPr="00503A01">
        <w:rPr>
          <w:rFonts w:ascii="Times New Roman" w:hAnsi="Times New Roman" w:cs="Times New Roman"/>
        </w:rPr>
        <w:t>ë</w:t>
      </w:r>
      <w:r w:rsidRPr="00503A01">
        <w:rPr>
          <w:rFonts w:ascii="Times New Roman" w:hAnsi="Times New Roman" w:cs="Times New Roman"/>
        </w:rPr>
        <w:t>s p</w:t>
      </w:r>
      <w:r w:rsidR="005B79B4" w:rsidRPr="00503A01">
        <w:rPr>
          <w:rFonts w:ascii="Times New Roman" w:hAnsi="Times New Roman" w:cs="Times New Roman"/>
        </w:rPr>
        <w:t>ë</w:t>
      </w:r>
      <w:r w:rsidRPr="00503A01">
        <w:rPr>
          <w:rFonts w:ascii="Times New Roman" w:hAnsi="Times New Roman" w:cs="Times New Roman"/>
        </w:rPr>
        <w:t>r t</w:t>
      </w:r>
      <w:r w:rsidR="005B79B4" w:rsidRPr="00503A01">
        <w:rPr>
          <w:rFonts w:ascii="Times New Roman" w:hAnsi="Times New Roman" w:cs="Times New Roman"/>
        </w:rPr>
        <w:t>ë</w:t>
      </w:r>
      <w:r w:rsidRPr="00503A01">
        <w:rPr>
          <w:rFonts w:ascii="Times New Roman" w:hAnsi="Times New Roman" w:cs="Times New Roman"/>
        </w:rPr>
        <w:t xml:space="preserve"> Drejtat e Njeriut</w:t>
      </w:r>
      <w:r w:rsidR="006F5A44" w:rsidRPr="00503A01">
        <w:rPr>
          <w:rFonts w:ascii="Times New Roman" w:hAnsi="Times New Roman" w:cs="Times New Roman"/>
        </w:rPr>
        <w:t xml:space="preserve">, Mendim, 27.02.2015, </w:t>
      </w:r>
      <w:hyperlink r:id="rId20" w:history="1">
        <w:r w:rsidR="006F5A44" w:rsidRPr="00503A01">
          <w:rPr>
            <w:rStyle w:val="Hyperlink"/>
            <w:rFonts w:ascii="Times New Roman" w:hAnsi="Times New Roman" w:cs="Times New Roman"/>
          </w:rPr>
          <w:t>https://media.unmikonline.org/hrap/Alb/Cases%20Albanian/OP_004-07_%20AL.pdf</w:t>
        </w:r>
      </w:hyperlink>
      <w:r w:rsidR="006F5A44" w:rsidRPr="006E191A">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B91"/>
    <w:multiLevelType w:val="multilevel"/>
    <w:tmpl w:val="0872587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9E2D09"/>
    <w:multiLevelType w:val="hybridMultilevel"/>
    <w:tmpl w:val="74E27C12"/>
    <w:lvl w:ilvl="0" w:tplc="E7820120">
      <w:start w:val="1"/>
      <w:numFmt w:val="lowerLetter"/>
      <w:lvlText w:val="%1."/>
      <w:lvlJc w:val="left"/>
      <w:pPr>
        <w:ind w:left="720" w:hanging="360"/>
      </w:pPr>
      <w:rPr>
        <w:rFonts w:ascii="Times New Roman" w:hAnsi="Times New Roman" w:cs="Times New Roman" w:hint="default"/>
        <w:sz w:val="24"/>
        <w:szCs w:val="20"/>
      </w:rPr>
    </w:lvl>
    <w:lvl w:ilvl="1" w:tplc="2332BF3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C07B9"/>
    <w:multiLevelType w:val="hybridMultilevel"/>
    <w:tmpl w:val="FAECE196"/>
    <w:lvl w:ilvl="0" w:tplc="83585F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3129D"/>
    <w:multiLevelType w:val="hybridMultilevel"/>
    <w:tmpl w:val="721AD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0249A"/>
    <w:multiLevelType w:val="hybridMultilevel"/>
    <w:tmpl w:val="C15ECC4C"/>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A74F0"/>
    <w:multiLevelType w:val="multilevel"/>
    <w:tmpl w:val="D968E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B71025"/>
    <w:multiLevelType w:val="hybridMultilevel"/>
    <w:tmpl w:val="9BA80474"/>
    <w:lvl w:ilvl="0" w:tplc="10362DE6">
      <w:start w:val="1"/>
      <w:numFmt w:val="lowerLetter"/>
      <w:lvlText w:val="%1."/>
      <w:lvlJc w:val="left"/>
      <w:pPr>
        <w:ind w:left="720" w:hanging="360"/>
      </w:pPr>
      <w:rPr>
        <w:rFonts w:ascii="Times New Roman" w:hAnsi="Times New Roman" w:cs="Times New Roman" w:hint="default"/>
        <w:sz w:val="24"/>
        <w:szCs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378EF"/>
    <w:multiLevelType w:val="hybridMultilevel"/>
    <w:tmpl w:val="9CB4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821F8"/>
    <w:multiLevelType w:val="hybridMultilevel"/>
    <w:tmpl w:val="B204BC32"/>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0F243A"/>
    <w:multiLevelType w:val="hybridMultilevel"/>
    <w:tmpl w:val="DCA4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B7575"/>
    <w:multiLevelType w:val="hybridMultilevel"/>
    <w:tmpl w:val="DDC8D516"/>
    <w:lvl w:ilvl="0" w:tplc="5C1285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76B39"/>
    <w:multiLevelType w:val="hybridMultilevel"/>
    <w:tmpl w:val="75BAD882"/>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C65A53"/>
    <w:multiLevelType w:val="hybridMultilevel"/>
    <w:tmpl w:val="B226F88A"/>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370996"/>
    <w:multiLevelType w:val="hybridMultilevel"/>
    <w:tmpl w:val="DB0284A2"/>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406381"/>
    <w:multiLevelType w:val="hybridMultilevel"/>
    <w:tmpl w:val="3550A752"/>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35AEB"/>
    <w:multiLevelType w:val="multilevel"/>
    <w:tmpl w:val="750C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E84EFA"/>
    <w:multiLevelType w:val="hybridMultilevel"/>
    <w:tmpl w:val="3B42A56C"/>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A47B2"/>
    <w:multiLevelType w:val="hybridMultilevel"/>
    <w:tmpl w:val="30A23636"/>
    <w:lvl w:ilvl="0" w:tplc="6CAC89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48559B"/>
    <w:multiLevelType w:val="hybridMultilevel"/>
    <w:tmpl w:val="CAAA4F3E"/>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522B2"/>
    <w:multiLevelType w:val="hybridMultilevel"/>
    <w:tmpl w:val="44ACDD3E"/>
    <w:lvl w:ilvl="0" w:tplc="E32803A0">
      <w:start w:val="1"/>
      <w:numFmt w:val="decimal"/>
      <w:lvlText w:val="%1."/>
      <w:lvlJc w:val="left"/>
      <w:pPr>
        <w:ind w:left="720" w:hanging="360"/>
      </w:pPr>
      <w:rPr>
        <w:rFonts w:hint="default"/>
      </w:rPr>
    </w:lvl>
    <w:lvl w:ilvl="1" w:tplc="0C9C31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DD1FDF"/>
    <w:multiLevelType w:val="hybridMultilevel"/>
    <w:tmpl w:val="0624F782"/>
    <w:lvl w:ilvl="0" w:tplc="74F07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A198C"/>
    <w:multiLevelType w:val="multilevel"/>
    <w:tmpl w:val="27CC101C"/>
    <w:lvl w:ilvl="0">
      <w:start w:val="1"/>
      <w:numFmt w:val="lowerLetter"/>
      <w:lvlText w:val="%1."/>
      <w:lvlJc w:val="left"/>
      <w:pPr>
        <w:tabs>
          <w:tab w:val="num" w:pos="720"/>
        </w:tabs>
        <w:ind w:left="720" w:hanging="360"/>
      </w:pPr>
      <w:rPr>
        <w:rFonts w:ascii="Times New Roman" w:hAnsi="Times New Roman" w:cs="Times New Roman" w:hint="default"/>
        <w:sz w:val="24"/>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BB7904"/>
    <w:multiLevelType w:val="hybridMultilevel"/>
    <w:tmpl w:val="B86C9446"/>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1E0E8C"/>
    <w:multiLevelType w:val="hybridMultilevel"/>
    <w:tmpl w:val="618CCF60"/>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151D0D"/>
    <w:multiLevelType w:val="hybridMultilevel"/>
    <w:tmpl w:val="6D3E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20351"/>
    <w:multiLevelType w:val="hybridMultilevel"/>
    <w:tmpl w:val="EE446C52"/>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304AA"/>
    <w:multiLevelType w:val="hybridMultilevel"/>
    <w:tmpl w:val="329CDA98"/>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E04D30"/>
    <w:multiLevelType w:val="hybridMultilevel"/>
    <w:tmpl w:val="F5E4EB18"/>
    <w:lvl w:ilvl="0" w:tplc="0524A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9C28A7"/>
    <w:multiLevelType w:val="hybridMultilevel"/>
    <w:tmpl w:val="21A409C0"/>
    <w:lvl w:ilvl="0" w:tplc="80AA9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C873F3"/>
    <w:multiLevelType w:val="hybridMultilevel"/>
    <w:tmpl w:val="FA4CCA92"/>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A7368"/>
    <w:multiLevelType w:val="hybridMultilevel"/>
    <w:tmpl w:val="5F2C9228"/>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021255"/>
    <w:multiLevelType w:val="hybridMultilevel"/>
    <w:tmpl w:val="F35A61FE"/>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1506F8"/>
    <w:multiLevelType w:val="hybridMultilevel"/>
    <w:tmpl w:val="1BAE43FC"/>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181A9B"/>
    <w:multiLevelType w:val="hybridMultilevel"/>
    <w:tmpl w:val="BB40FD4C"/>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06470D"/>
    <w:multiLevelType w:val="hybridMultilevel"/>
    <w:tmpl w:val="24D697C8"/>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52055"/>
    <w:multiLevelType w:val="hybridMultilevel"/>
    <w:tmpl w:val="4EC443FE"/>
    <w:lvl w:ilvl="0" w:tplc="E7820120">
      <w:start w:val="1"/>
      <w:numFmt w:val="lowerLetter"/>
      <w:lvlText w:val="%1."/>
      <w:lvlJc w:val="left"/>
      <w:pPr>
        <w:ind w:left="720" w:hanging="360"/>
      </w:pPr>
      <w:rPr>
        <w:rFonts w:ascii="Times New Roman" w:hAnsi="Times New Roman" w:cs="Times New Roman" w:hint="default"/>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A01A1C"/>
    <w:multiLevelType w:val="hybridMultilevel"/>
    <w:tmpl w:val="708AEC62"/>
    <w:lvl w:ilvl="0" w:tplc="B32AC4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ED0E02"/>
    <w:multiLevelType w:val="hybridMultilevel"/>
    <w:tmpl w:val="31EA426E"/>
    <w:lvl w:ilvl="0" w:tplc="3B360D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5701744">
    <w:abstractNumId w:val="37"/>
  </w:num>
  <w:num w:numId="2" w16cid:durableId="1526480125">
    <w:abstractNumId w:val="0"/>
  </w:num>
  <w:num w:numId="3" w16cid:durableId="707072560">
    <w:abstractNumId w:val="33"/>
  </w:num>
  <w:num w:numId="4" w16cid:durableId="917980235">
    <w:abstractNumId w:val="10"/>
  </w:num>
  <w:num w:numId="5" w16cid:durableId="589048104">
    <w:abstractNumId w:val="6"/>
  </w:num>
  <w:num w:numId="6" w16cid:durableId="346248382">
    <w:abstractNumId w:val="18"/>
  </w:num>
  <w:num w:numId="7" w16cid:durableId="618799975">
    <w:abstractNumId w:val="26"/>
  </w:num>
  <w:num w:numId="8" w16cid:durableId="1282299382">
    <w:abstractNumId w:val="21"/>
  </w:num>
  <w:num w:numId="9" w16cid:durableId="2088989898">
    <w:abstractNumId w:val="20"/>
  </w:num>
  <w:num w:numId="10" w16cid:durableId="975178565">
    <w:abstractNumId w:val="4"/>
  </w:num>
  <w:num w:numId="11" w16cid:durableId="798571041">
    <w:abstractNumId w:val="22"/>
  </w:num>
  <w:num w:numId="12" w16cid:durableId="1164858706">
    <w:abstractNumId w:val="35"/>
  </w:num>
  <w:num w:numId="13" w16cid:durableId="1124233758">
    <w:abstractNumId w:val="23"/>
  </w:num>
  <w:num w:numId="14" w16cid:durableId="740904480">
    <w:abstractNumId w:val="36"/>
  </w:num>
  <w:num w:numId="15" w16cid:durableId="423695890">
    <w:abstractNumId w:val="29"/>
  </w:num>
  <w:num w:numId="16" w16cid:durableId="1021903630">
    <w:abstractNumId w:val="34"/>
  </w:num>
  <w:num w:numId="17" w16cid:durableId="1681391781">
    <w:abstractNumId w:val="19"/>
  </w:num>
  <w:num w:numId="18" w16cid:durableId="1313872322">
    <w:abstractNumId w:val="32"/>
  </w:num>
  <w:num w:numId="19" w16cid:durableId="1641569523">
    <w:abstractNumId w:val="7"/>
  </w:num>
  <w:num w:numId="20" w16cid:durableId="1521896178">
    <w:abstractNumId w:val="31"/>
  </w:num>
  <w:num w:numId="21" w16cid:durableId="521940225">
    <w:abstractNumId w:val="12"/>
  </w:num>
  <w:num w:numId="22" w16cid:durableId="859582301">
    <w:abstractNumId w:val="16"/>
  </w:num>
  <w:num w:numId="23" w16cid:durableId="911739094">
    <w:abstractNumId w:val="14"/>
  </w:num>
  <w:num w:numId="24" w16cid:durableId="1768848086">
    <w:abstractNumId w:val="28"/>
  </w:num>
  <w:num w:numId="25" w16cid:durableId="1867060682">
    <w:abstractNumId w:val="3"/>
  </w:num>
  <w:num w:numId="26" w16cid:durableId="1289313854">
    <w:abstractNumId w:val="25"/>
  </w:num>
  <w:num w:numId="27" w16cid:durableId="121853748">
    <w:abstractNumId w:val="11"/>
  </w:num>
  <w:num w:numId="28" w16cid:durableId="829716585">
    <w:abstractNumId w:val="8"/>
  </w:num>
  <w:num w:numId="29" w16cid:durableId="494536003">
    <w:abstractNumId w:val="1"/>
  </w:num>
  <w:num w:numId="30" w16cid:durableId="269821568">
    <w:abstractNumId w:val="13"/>
  </w:num>
  <w:num w:numId="31" w16cid:durableId="265433450">
    <w:abstractNumId w:val="30"/>
  </w:num>
  <w:num w:numId="32" w16cid:durableId="1294598338">
    <w:abstractNumId w:val="5"/>
  </w:num>
  <w:num w:numId="33" w16cid:durableId="183516048">
    <w:abstractNumId w:val="2"/>
  </w:num>
  <w:num w:numId="34" w16cid:durableId="252251389">
    <w:abstractNumId w:val="27"/>
  </w:num>
  <w:num w:numId="35" w16cid:durableId="1520443">
    <w:abstractNumId w:val="15"/>
  </w:num>
  <w:num w:numId="36" w16cid:durableId="447624243">
    <w:abstractNumId w:val="24"/>
  </w:num>
  <w:num w:numId="37" w16cid:durableId="307976002">
    <w:abstractNumId w:val="17"/>
  </w:num>
  <w:num w:numId="38" w16cid:durableId="2036350239">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E8"/>
    <w:rsid w:val="0000485F"/>
    <w:rsid w:val="00004B07"/>
    <w:rsid w:val="00021EA7"/>
    <w:rsid w:val="00021F03"/>
    <w:rsid w:val="00023DAE"/>
    <w:rsid w:val="000248C8"/>
    <w:rsid w:val="00027A5A"/>
    <w:rsid w:val="00034FF7"/>
    <w:rsid w:val="000350F9"/>
    <w:rsid w:val="00036339"/>
    <w:rsid w:val="00046D12"/>
    <w:rsid w:val="00060D35"/>
    <w:rsid w:val="00061CFC"/>
    <w:rsid w:val="00064C09"/>
    <w:rsid w:val="00065CC1"/>
    <w:rsid w:val="00066B33"/>
    <w:rsid w:val="00074795"/>
    <w:rsid w:val="00076908"/>
    <w:rsid w:val="00084B46"/>
    <w:rsid w:val="00086A65"/>
    <w:rsid w:val="000A0AE8"/>
    <w:rsid w:val="000A18ED"/>
    <w:rsid w:val="000B0E71"/>
    <w:rsid w:val="000B29A9"/>
    <w:rsid w:val="000B4169"/>
    <w:rsid w:val="000B4DF7"/>
    <w:rsid w:val="000B6E1A"/>
    <w:rsid w:val="000B7559"/>
    <w:rsid w:val="000C6C66"/>
    <w:rsid w:val="000D1F0B"/>
    <w:rsid w:val="000D27E1"/>
    <w:rsid w:val="000D339A"/>
    <w:rsid w:val="000D73C9"/>
    <w:rsid w:val="000F1BCA"/>
    <w:rsid w:val="000F40DA"/>
    <w:rsid w:val="001013CB"/>
    <w:rsid w:val="00101A0D"/>
    <w:rsid w:val="00103DF6"/>
    <w:rsid w:val="00107E87"/>
    <w:rsid w:val="00111EE9"/>
    <w:rsid w:val="00117C24"/>
    <w:rsid w:val="0012280E"/>
    <w:rsid w:val="001246A4"/>
    <w:rsid w:val="00130D4F"/>
    <w:rsid w:val="0013197F"/>
    <w:rsid w:val="00144C64"/>
    <w:rsid w:val="00147CDC"/>
    <w:rsid w:val="0016060C"/>
    <w:rsid w:val="0017249B"/>
    <w:rsid w:val="00184738"/>
    <w:rsid w:val="00187BC7"/>
    <w:rsid w:val="00193C07"/>
    <w:rsid w:val="001A6220"/>
    <w:rsid w:val="001B2B19"/>
    <w:rsid w:val="001C2074"/>
    <w:rsid w:val="001C6AAE"/>
    <w:rsid w:val="001C7A0C"/>
    <w:rsid w:val="001E17DD"/>
    <w:rsid w:val="001E1BB9"/>
    <w:rsid w:val="001F6191"/>
    <w:rsid w:val="00200D87"/>
    <w:rsid w:val="00205F9E"/>
    <w:rsid w:val="002131E1"/>
    <w:rsid w:val="002174C1"/>
    <w:rsid w:val="002320B4"/>
    <w:rsid w:val="002342F7"/>
    <w:rsid w:val="00234BC8"/>
    <w:rsid w:val="002425EA"/>
    <w:rsid w:val="00251D77"/>
    <w:rsid w:val="00252141"/>
    <w:rsid w:val="00257B4F"/>
    <w:rsid w:val="002649CF"/>
    <w:rsid w:val="002727CF"/>
    <w:rsid w:val="00277184"/>
    <w:rsid w:val="00290587"/>
    <w:rsid w:val="00291FAA"/>
    <w:rsid w:val="00292332"/>
    <w:rsid w:val="0029294F"/>
    <w:rsid w:val="002B4977"/>
    <w:rsid w:val="002B5539"/>
    <w:rsid w:val="002D6A3F"/>
    <w:rsid w:val="002D78FE"/>
    <w:rsid w:val="002E382C"/>
    <w:rsid w:val="002E774C"/>
    <w:rsid w:val="002F0D2B"/>
    <w:rsid w:val="002F1A42"/>
    <w:rsid w:val="002F4F25"/>
    <w:rsid w:val="002F5E31"/>
    <w:rsid w:val="002F6D78"/>
    <w:rsid w:val="002F7A92"/>
    <w:rsid w:val="003121CC"/>
    <w:rsid w:val="003171B8"/>
    <w:rsid w:val="00323849"/>
    <w:rsid w:val="00331206"/>
    <w:rsid w:val="003431D5"/>
    <w:rsid w:val="0034702B"/>
    <w:rsid w:val="00350D31"/>
    <w:rsid w:val="00351285"/>
    <w:rsid w:val="00356B19"/>
    <w:rsid w:val="00361E2D"/>
    <w:rsid w:val="003621B1"/>
    <w:rsid w:val="003756AD"/>
    <w:rsid w:val="00376562"/>
    <w:rsid w:val="0039098E"/>
    <w:rsid w:val="00393D09"/>
    <w:rsid w:val="003971F8"/>
    <w:rsid w:val="003A1E38"/>
    <w:rsid w:val="003A3166"/>
    <w:rsid w:val="003A7C89"/>
    <w:rsid w:val="003B3D29"/>
    <w:rsid w:val="003D1227"/>
    <w:rsid w:val="003D4D20"/>
    <w:rsid w:val="003D5DE9"/>
    <w:rsid w:val="003D6727"/>
    <w:rsid w:val="003D75D4"/>
    <w:rsid w:val="003E0796"/>
    <w:rsid w:val="003E07DA"/>
    <w:rsid w:val="003E123E"/>
    <w:rsid w:val="003E3817"/>
    <w:rsid w:val="003E5DFF"/>
    <w:rsid w:val="003E6CF2"/>
    <w:rsid w:val="003E6EEC"/>
    <w:rsid w:val="003F2B30"/>
    <w:rsid w:val="003F6A43"/>
    <w:rsid w:val="0040007A"/>
    <w:rsid w:val="00422442"/>
    <w:rsid w:val="0042307E"/>
    <w:rsid w:val="00426E30"/>
    <w:rsid w:val="00430395"/>
    <w:rsid w:val="004328C2"/>
    <w:rsid w:val="004409E9"/>
    <w:rsid w:val="004502A4"/>
    <w:rsid w:val="004539C4"/>
    <w:rsid w:val="00456483"/>
    <w:rsid w:val="004633A5"/>
    <w:rsid w:val="0046705C"/>
    <w:rsid w:val="004753A5"/>
    <w:rsid w:val="00485AF1"/>
    <w:rsid w:val="00490174"/>
    <w:rsid w:val="00493D47"/>
    <w:rsid w:val="004A0B36"/>
    <w:rsid w:val="004A45F5"/>
    <w:rsid w:val="004A5027"/>
    <w:rsid w:val="004B162C"/>
    <w:rsid w:val="004B4494"/>
    <w:rsid w:val="004C1518"/>
    <w:rsid w:val="004C7C08"/>
    <w:rsid w:val="004D011D"/>
    <w:rsid w:val="004D633A"/>
    <w:rsid w:val="004E1E24"/>
    <w:rsid w:val="004E3FBB"/>
    <w:rsid w:val="004F101B"/>
    <w:rsid w:val="004F373B"/>
    <w:rsid w:val="00503A01"/>
    <w:rsid w:val="005111FB"/>
    <w:rsid w:val="0051501F"/>
    <w:rsid w:val="00515F86"/>
    <w:rsid w:val="00522333"/>
    <w:rsid w:val="0052690C"/>
    <w:rsid w:val="0053416C"/>
    <w:rsid w:val="005347C8"/>
    <w:rsid w:val="005366E7"/>
    <w:rsid w:val="00545E7E"/>
    <w:rsid w:val="00552865"/>
    <w:rsid w:val="005733F7"/>
    <w:rsid w:val="00580081"/>
    <w:rsid w:val="005852F1"/>
    <w:rsid w:val="005909BC"/>
    <w:rsid w:val="005A55E0"/>
    <w:rsid w:val="005A7A40"/>
    <w:rsid w:val="005B79B4"/>
    <w:rsid w:val="005D6965"/>
    <w:rsid w:val="005E6255"/>
    <w:rsid w:val="005E6A0E"/>
    <w:rsid w:val="005F2568"/>
    <w:rsid w:val="005F7147"/>
    <w:rsid w:val="00600129"/>
    <w:rsid w:val="0060270A"/>
    <w:rsid w:val="00613528"/>
    <w:rsid w:val="0061458A"/>
    <w:rsid w:val="00620D26"/>
    <w:rsid w:val="00626B52"/>
    <w:rsid w:val="006304DB"/>
    <w:rsid w:val="00630EBF"/>
    <w:rsid w:val="00635F4C"/>
    <w:rsid w:val="00637FCD"/>
    <w:rsid w:val="0064221F"/>
    <w:rsid w:val="0064736D"/>
    <w:rsid w:val="0065052C"/>
    <w:rsid w:val="00650CD8"/>
    <w:rsid w:val="00653572"/>
    <w:rsid w:val="006619D3"/>
    <w:rsid w:val="00662A13"/>
    <w:rsid w:val="00665A71"/>
    <w:rsid w:val="00677BCA"/>
    <w:rsid w:val="0068174B"/>
    <w:rsid w:val="00683C72"/>
    <w:rsid w:val="00684BC3"/>
    <w:rsid w:val="00686EF9"/>
    <w:rsid w:val="0069172E"/>
    <w:rsid w:val="00695A04"/>
    <w:rsid w:val="00697A0D"/>
    <w:rsid w:val="006A468B"/>
    <w:rsid w:val="006A4AD5"/>
    <w:rsid w:val="006A4D1D"/>
    <w:rsid w:val="006B002D"/>
    <w:rsid w:val="006B296C"/>
    <w:rsid w:val="006B53C6"/>
    <w:rsid w:val="006B5781"/>
    <w:rsid w:val="006C3339"/>
    <w:rsid w:val="006D3884"/>
    <w:rsid w:val="006E0A8D"/>
    <w:rsid w:val="006E191A"/>
    <w:rsid w:val="006E7F35"/>
    <w:rsid w:val="006F5A44"/>
    <w:rsid w:val="006F5ED4"/>
    <w:rsid w:val="0070535E"/>
    <w:rsid w:val="00705C4B"/>
    <w:rsid w:val="007132B2"/>
    <w:rsid w:val="00713931"/>
    <w:rsid w:val="00720EF1"/>
    <w:rsid w:val="00721010"/>
    <w:rsid w:val="00721AFF"/>
    <w:rsid w:val="00722E35"/>
    <w:rsid w:val="00724C57"/>
    <w:rsid w:val="00726B67"/>
    <w:rsid w:val="00743B73"/>
    <w:rsid w:val="00744B2B"/>
    <w:rsid w:val="00750499"/>
    <w:rsid w:val="00750DE3"/>
    <w:rsid w:val="007571B5"/>
    <w:rsid w:val="0076651C"/>
    <w:rsid w:val="007921B5"/>
    <w:rsid w:val="00793219"/>
    <w:rsid w:val="00796180"/>
    <w:rsid w:val="007A3B51"/>
    <w:rsid w:val="007A569E"/>
    <w:rsid w:val="007A5780"/>
    <w:rsid w:val="007B0065"/>
    <w:rsid w:val="007B4387"/>
    <w:rsid w:val="007B7BB9"/>
    <w:rsid w:val="007C3CC7"/>
    <w:rsid w:val="007D57F9"/>
    <w:rsid w:val="007D76A1"/>
    <w:rsid w:val="007E3C58"/>
    <w:rsid w:val="007E43C2"/>
    <w:rsid w:val="007F3B5B"/>
    <w:rsid w:val="007F77C1"/>
    <w:rsid w:val="00805797"/>
    <w:rsid w:val="008059DC"/>
    <w:rsid w:val="00811FB6"/>
    <w:rsid w:val="00830056"/>
    <w:rsid w:val="0083344E"/>
    <w:rsid w:val="008510F8"/>
    <w:rsid w:val="00860816"/>
    <w:rsid w:val="00865BA5"/>
    <w:rsid w:val="008664C4"/>
    <w:rsid w:val="00871D4F"/>
    <w:rsid w:val="00874459"/>
    <w:rsid w:val="00874C39"/>
    <w:rsid w:val="008766BE"/>
    <w:rsid w:val="00883EA8"/>
    <w:rsid w:val="008859E7"/>
    <w:rsid w:val="00892CC8"/>
    <w:rsid w:val="0089766A"/>
    <w:rsid w:val="008A47EA"/>
    <w:rsid w:val="008A6076"/>
    <w:rsid w:val="008A73F7"/>
    <w:rsid w:val="008B2F77"/>
    <w:rsid w:val="008B59E4"/>
    <w:rsid w:val="008B7624"/>
    <w:rsid w:val="008C67D7"/>
    <w:rsid w:val="008C780C"/>
    <w:rsid w:val="008D3400"/>
    <w:rsid w:val="008E4874"/>
    <w:rsid w:val="008E63BB"/>
    <w:rsid w:val="008F46A0"/>
    <w:rsid w:val="008F66AA"/>
    <w:rsid w:val="00912737"/>
    <w:rsid w:val="00912868"/>
    <w:rsid w:val="009148CC"/>
    <w:rsid w:val="0092219E"/>
    <w:rsid w:val="009228A0"/>
    <w:rsid w:val="00926A86"/>
    <w:rsid w:val="00927CC8"/>
    <w:rsid w:val="009321A1"/>
    <w:rsid w:val="009343EE"/>
    <w:rsid w:val="00934F56"/>
    <w:rsid w:val="00936345"/>
    <w:rsid w:val="00953611"/>
    <w:rsid w:val="00954FD3"/>
    <w:rsid w:val="009566EC"/>
    <w:rsid w:val="00956F16"/>
    <w:rsid w:val="009617CE"/>
    <w:rsid w:val="00964F15"/>
    <w:rsid w:val="00965236"/>
    <w:rsid w:val="00965876"/>
    <w:rsid w:val="00966428"/>
    <w:rsid w:val="00966ECB"/>
    <w:rsid w:val="00974117"/>
    <w:rsid w:val="00976139"/>
    <w:rsid w:val="009771E0"/>
    <w:rsid w:val="00992BD0"/>
    <w:rsid w:val="00994AC8"/>
    <w:rsid w:val="009A1A51"/>
    <w:rsid w:val="009A3221"/>
    <w:rsid w:val="009A4EBC"/>
    <w:rsid w:val="009A5CDC"/>
    <w:rsid w:val="009B56EC"/>
    <w:rsid w:val="009C2C9D"/>
    <w:rsid w:val="009C3A91"/>
    <w:rsid w:val="009C4A7F"/>
    <w:rsid w:val="009C5FE5"/>
    <w:rsid w:val="009C6194"/>
    <w:rsid w:val="009D3A66"/>
    <w:rsid w:val="009D7E83"/>
    <w:rsid w:val="009E26DA"/>
    <w:rsid w:val="009E6651"/>
    <w:rsid w:val="009F5D85"/>
    <w:rsid w:val="009F62E1"/>
    <w:rsid w:val="009F6E76"/>
    <w:rsid w:val="00A101CB"/>
    <w:rsid w:val="00A10323"/>
    <w:rsid w:val="00A20E47"/>
    <w:rsid w:val="00A23223"/>
    <w:rsid w:val="00A35D52"/>
    <w:rsid w:val="00A4074A"/>
    <w:rsid w:val="00A40AF5"/>
    <w:rsid w:val="00A40D85"/>
    <w:rsid w:val="00A42BC5"/>
    <w:rsid w:val="00A45A71"/>
    <w:rsid w:val="00A46CE8"/>
    <w:rsid w:val="00A523B9"/>
    <w:rsid w:val="00A54AD9"/>
    <w:rsid w:val="00A739F5"/>
    <w:rsid w:val="00A84A46"/>
    <w:rsid w:val="00A85398"/>
    <w:rsid w:val="00A87766"/>
    <w:rsid w:val="00A91DB3"/>
    <w:rsid w:val="00AA0B32"/>
    <w:rsid w:val="00AA377D"/>
    <w:rsid w:val="00AC718F"/>
    <w:rsid w:val="00AE1A7B"/>
    <w:rsid w:val="00AE3C92"/>
    <w:rsid w:val="00AE5FD7"/>
    <w:rsid w:val="00AF023C"/>
    <w:rsid w:val="00AF09F6"/>
    <w:rsid w:val="00AF5638"/>
    <w:rsid w:val="00AF708C"/>
    <w:rsid w:val="00B015A3"/>
    <w:rsid w:val="00B0171E"/>
    <w:rsid w:val="00B01B94"/>
    <w:rsid w:val="00B031DF"/>
    <w:rsid w:val="00B046C4"/>
    <w:rsid w:val="00B120C4"/>
    <w:rsid w:val="00B17EF3"/>
    <w:rsid w:val="00B201AF"/>
    <w:rsid w:val="00B2159C"/>
    <w:rsid w:val="00B330E1"/>
    <w:rsid w:val="00B36CA3"/>
    <w:rsid w:val="00B44750"/>
    <w:rsid w:val="00B622D3"/>
    <w:rsid w:val="00B62C9D"/>
    <w:rsid w:val="00B70294"/>
    <w:rsid w:val="00B74AA7"/>
    <w:rsid w:val="00B76838"/>
    <w:rsid w:val="00B828EB"/>
    <w:rsid w:val="00B829BC"/>
    <w:rsid w:val="00B92A27"/>
    <w:rsid w:val="00BA019E"/>
    <w:rsid w:val="00BA5B8F"/>
    <w:rsid w:val="00BA6D90"/>
    <w:rsid w:val="00BB1A4D"/>
    <w:rsid w:val="00BB42CD"/>
    <w:rsid w:val="00BB4D89"/>
    <w:rsid w:val="00BC2FBF"/>
    <w:rsid w:val="00BC3C47"/>
    <w:rsid w:val="00BD125A"/>
    <w:rsid w:val="00BF2FF2"/>
    <w:rsid w:val="00BF7C11"/>
    <w:rsid w:val="00BF7C3F"/>
    <w:rsid w:val="00C01063"/>
    <w:rsid w:val="00C0432F"/>
    <w:rsid w:val="00C11710"/>
    <w:rsid w:val="00C138FD"/>
    <w:rsid w:val="00C15B36"/>
    <w:rsid w:val="00C16836"/>
    <w:rsid w:val="00C244D4"/>
    <w:rsid w:val="00C24D5A"/>
    <w:rsid w:val="00C27FBD"/>
    <w:rsid w:val="00C34381"/>
    <w:rsid w:val="00C34CB3"/>
    <w:rsid w:val="00C425B6"/>
    <w:rsid w:val="00C433C5"/>
    <w:rsid w:val="00C46F0A"/>
    <w:rsid w:val="00C54CFF"/>
    <w:rsid w:val="00C6463E"/>
    <w:rsid w:val="00C67170"/>
    <w:rsid w:val="00C73AC4"/>
    <w:rsid w:val="00C74831"/>
    <w:rsid w:val="00C74D0B"/>
    <w:rsid w:val="00C84842"/>
    <w:rsid w:val="00C84CFD"/>
    <w:rsid w:val="00C91529"/>
    <w:rsid w:val="00C921DF"/>
    <w:rsid w:val="00C95434"/>
    <w:rsid w:val="00C956C8"/>
    <w:rsid w:val="00C965D3"/>
    <w:rsid w:val="00CA2261"/>
    <w:rsid w:val="00CA23EA"/>
    <w:rsid w:val="00CB39D2"/>
    <w:rsid w:val="00CC3640"/>
    <w:rsid w:val="00CC436B"/>
    <w:rsid w:val="00CD1A40"/>
    <w:rsid w:val="00CD480E"/>
    <w:rsid w:val="00CD6351"/>
    <w:rsid w:val="00CE2BE8"/>
    <w:rsid w:val="00CE59CB"/>
    <w:rsid w:val="00CF055D"/>
    <w:rsid w:val="00CF1B43"/>
    <w:rsid w:val="00CF7545"/>
    <w:rsid w:val="00D013D9"/>
    <w:rsid w:val="00D032A7"/>
    <w:rsid w:val="00D05E2E"/>
    <w:rsid w:val="00D0613C"/>
    <w:rsid w:val="00D114F2"/>
    <w:rsid w:val="00D114F5"/>
    <w:rsid w:val="00D23B3E"/>
    <w:rsid w:val="00D35E2A"/>
    <w:rsid w:val="00D370CD"/>
    <w:rsid w:val="00D51C3D"/>
    <w:rsid w:val="00D5482A"/>
    <w:rsid w:val="00D803A4"/>
    <w:rsid w:val="00D80548"/>
    <w:rsid w:val="00D806B2"/>
    <w:rsid w:val="00D808C8"/>
    <w:rsid w:val="00D82424"/>
    <w:rsid w:val="00D927B8"/>
    <w:rsid w:val="00D97202"/>
    <w:rsid w:val="00D97543"/>
    <w:rsid w:val="00DA40D4"/>
    <w:rsid w:val="00DA5212"/>
    <w:rsid w:val="00DA5693"/>
    <w:rsid w:val="00DB022B"/>
    <w:rsid w:val="00DB269C"/>
    <w:rsid w:val="00DB59C4"/>
    <w:rsid w:val="00DB6380"/>
    <w:rsid w:val="00DD7531"/>
    <w:rsid w:val="00DE316C"/>
    <w:rsid w:val="00DF616B"/>
    <w:rsid w:val="00E025DD"/>
    <w:rsid w:val="00E04054"/>
    <w:rsid w:val="00E10B3C"/>
    <w:rsid w:val="00E1128C"/>
    <w:rsid w:val="00E1346E"/>
    <w:rsid w:val="00E248F6"/>
    <w:rsid w:val="00E3408B"/>
    <w:rsid w:val="00E368C9"/>
    <w:rsid w:val="00E36B1D"/>
    <w:rsid w:val="00E42B35"/>
    <w:rsid w:val="00E54AD2"/>
    <w:rsid w:val="00E56E68"/>
    <w:rsid w:val="00E6135A"/>
    <w:rsid w:val="00E6384E"/>
    <w:rsid w:val="00E64BE5"/>
    <w:rsid w:val="00E650B1"/>
    <w:rsid w:val="00E652D9"/>
    <w:rsid w:val="00E6582C"/>
    <w:rsid w:val="00E65DCC"/>
    <w:rsid w:val="00E678DF"/>
    <w:rsid w:val="00E75CE0"/>
    <w:rsid w:val="00E80126"/>
    <w:rsid w:val="00E81769"/>
    <w:rsid w:val="00E87E85"/>
    <w:rsid w:val="00E94A29"/>
    <w:rsid w:val="00E94DC3"/>
    <w:rsid w:val="00E96A7F"/>
    <w:rsid w:val="00E97EA7"/>
    <w:rsid w:val="00EB2B4E"/>
    <w:rsid w:val="00EC133D"/>
    <w:rsid w:val="00ED591E"/>
    <w:rsid w:val="00EE3B1D"/>
    <w:rsid w:val="00EF4C5D"/>
    <w:rsid w:val="00EF5C69"/>
    <w:rsid w:val="00EF7B58"/>
    <w:rsid w:val="00F11591"/>
    <w:rsid w:val="00F1365D"/>
    <w:rsid w:val="00F161E3"/>
    <w:rsid w:val="00F20642"/>
    <w:rsid w:val="00F26D2F"/>
    <w:rsid w:val="00F3603D"/>
    <w:rsid w:val="00F36446"/>
    <w:rsid w:val="00F4031E"/>
    <w:rsid w:val="00F438DD"/>
    <w:rsid w:val="00F46308"/>
    <w:rsid w:val="00F55D98"/>
    <w:rsid w:val="00F57D02"/>
    <w:rsid w:val="00F60E23"/>
    <w:rsid w:val="00F75AE1"/>
    <w:rsid w:val="00F75D42"/>
    <w:rsid w:val="00F82C4F"/>
    <w:rsid w:val="00F90F94"/>
    <w:rsid w:val="00F9402C"/>
    <w:rsid w:val="00F9425C"/>
    <w:rsid w:val="00F972F6"/>
    <w:rsid w:val="00FA3052"/>
    <w:rsid w:val="00FA444B"/>
    <w:rsid w:val="00FA49B5"/>
    <w:rsid w:val="00FB047E"/>
    <w:rsid w:val="00FB5AD4"/>
    <w:rsid w:val="00FC7F09"/>
    <w:rsid w:val="00FD1A89"/>
    <w:rsid w:val="00FD4174"/>
    <w:rsid w:val="00FD5F38"/>
    <w:rsid w:val="00FE0A0F"/>
    <w:rsid w:val="00FE0F3A"/>
    <w:rsid w:val="00FE794E"/>
    <w:rsid w:val="00FF1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075AC"/>
  <w15:chartTrackingRefBased/>
  <w15:docId w15:val="{9F1D07E4-3751-4BF3-8E26-2E76BD1C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6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6C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C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C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C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C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C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C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C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6C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6C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C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C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CE8"/>
    <w:rPr>
      <w:rFonts w:eastAsiaTheme="majorEastAsia" w:cstheme="majorBidi"/>
      <w:color w:val="272727" w:themeColor="text1" w:themeTint="D8"/>
    </w:rPr>
  </w:style>
  <w:style w:type="paragraph" w:styleId="Title">
    <w:name w:val="Title"/>
    <w:basedOn w:val="Normal"/>
    <w:next w:val="Normal"/>
    <w:link w:val="TitleChar"/>
    <w:uiPriority w:val="10"/>
    <w:qFormat/>
    <w:rsid w:val="00A46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CE8"/>
    <w:pPr>
      <w:spacing w:before="160"/>
      <w:jc w:val="center"/>
    </w:pPr>
    <w:rPr>
      <w:i/>
      <w:iCs/>
      <w:color w:val="404040" w:themeColor="text1" w:themeTint="BF"/>
    </w:rPr>
  </w:style>
  <w:style w:type="character" w:customStyle="1" w:styleId="QuoteChar">
    <w:name w:val="Quote Char"/>
    <w:basedOn w:val="DefaultParagraphFont"/>
    <w:link w:val="Quote"/>
    <w:uiPriority w:val="29"/>
    <w:rsid w:val="00A46CE8"/>
    <w:rPr>
      <w:i/>
      <w:iCs/>
      <w:color w:val="404040" w:themeColor="text1" w:themeTint="BF"/>
    </w:rPr>
  </w:style>
  <w:style w:type="paragraph" w:styleId="ListParagraph">
    <w:name w:val="List Paragraph"/>
    <w:basedOn w:val="Normal"/>
    <w:uiPriority w:val="34"/>
    <w:qFormat/>
    <w:rsid w:val="00A46CE8"/>
    <w:pPr>
      <w:ind w:left="720"/>
      <w:contextualSpacing/>
    </w:pPr>
  </w:style>
  <w:style w:type="character" w:styleId="IntenseEmphasis">
    <w:name w:val="Intense Emphasis"/>
    <w:basedOn w:val="DefaultParagraphFont"/>
    <w:uiPriority w:val="21"/>
    <w:qFormat/>
    <w:rsid w:val="00A46CE8"/>
    <w:rPr>
      <w:i/>
      <w:iCs/>
      <w:color w:val="0F4761" w:themeColor="accent1" w:themeShade="BF"/>
    </w:rPr>
  </w:style>
  <w:style w:type="paragraph" w:styleId="IntenseQuote">
    <w:name w:val="Intense Quote"/>
    <w:basedOn w:val="Normal"/>
    <w:next w:val="Normal"/>
    <w:link w:val="IntenseQuoteChar"/>
    <w:uiPriority w:val="30"/>
    <w:qFormat/>
    <w:rsid w:val="00A46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CE8"/>
    <w:rPr>
      <w:i/>
      <w:iCs/>
      <w:color w:val="0F4761" w:themeColor="accent1" w:themeShade="BF"/>
    </w:rPr>
  </w:style>
  <w:style w:type="character" w:styleId="IntenseReference">
    <w:name w:val="Intense Reference"/>
    <w:basedOn w:val="DefaultParagraphFont"/>
    <w:uiPriority w:val="32"/>
    <w:qFormat/>
    <w:rsid w:val="00A46CE8"/>
    <w:rPr>
      <w:b/>
      <w:bCs/>
      <w:smallCaps/>
      <w:color w:val="0F4761" w:themeColor="accent1" w:themeShade="BF"/>
      <w:spacing w:val="5"/>
    </w:rPr>
  </w:style>
  <w:style w:type="character" w:styleId="Hyperlink">
    <w:name w:val="Hyperlink"/>
    <w:basedOn w:val="DefaultParagraphFont"/>
    <w:uiPriority w:val="99"/>
    <w:unhideWhenUsed/>
    <w:rsid w:val="002174C1"/>
    <w:rPr>
      <w:color w:val="467886" w:themeColor="hyperlink"/>
      <w:u w:val="single"/>
    </w:rPr>
  </w:style>
  <w:style w:type="character" w:styleId="UnresolvedMention">
    <w:name w:val="Unresolved Mention"/>
    <w:basedOn w:val="DefaultParagraphFont"/>
    <w:uiPriority w:val="99"/>
    <w:semiHidden/>
    <w:unhideWhenUsed/>
    <w:rsid w:val="002174C1"/>
    <w:rPr>
      <w:color w:val="605E5C"/>
      <w:shd w:val="clear" w:color="auto" w:fill="E1DFDD"/>
    </w:rPr>
  </w:style>
  <w:style w:type="paragraph" w:styleId="FootnoteText">
    <w:name w:val="footnote text"/>
    <w:basedOn w:val="Normal"/>
    <w:link w:val="FootnoteTextChar"/>
    <w:uiPriority w:val="99"/>
    <w:semiHidden/>
    <w:unhideWhenUsed/>
    <w:rsid w:val="00ED59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91E"/>
    <w:rPr>
      <w:sz w:val="20"/>
      <w:szCs w:val="20"/>
    </w:rPr>
  </w:style>
  <w:style w:type="character" w:styleId="FootnoteReference">
    <w:name w:val="footnote reference"/>
    <w:basedOn w:val="DefaultParagraphFont"/>
    <w:uiPriority w:val="99"/>
    <w:semiHidden/>
    <w:unhideWhenUsed/>
    <w:rsid w:val="00ED591E"/>
    <w:rPr>
      <w:vertAlign w:val="superscript"/>
    </w:rPr>
  </w:style>
  <w:style w:type="paragraph" w:styleId="NormalWeb">
    <w:name w:val="Normal (Web)"/>
    <w:basedOn w:val="Normal"/>
    <w:uiPriority w:val="99"/>
    <w:semiHidden/>
    <w:unhideWhenUsed/>
    <w:rsid w:val="00FB5AD4"/>
    <w:rPr>
      <w:rFonts w:ascii="Times New Roman" w:hAnsi="Times New Roman" w:cs="Times New Roman"/>
      <w:sz w:val="24"/>
      <w:szCs w:val="24"/>
    </w:rPr>
  </w:style>
  <w:style w:type="paragraph" w:styleId="Header">
    <w:name w:val="header"/>
    <w:basedOn w:val="Normal"/>
    <w:link w:val="HeaderChar"/>
    <w:uiPriority w:val="99"/>
    <w:unhideWhenUsed/>
    <w:rsid w:val="00F94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02C"/>
  </w:style>
  <w:style w:type="paragraph" w:styleId="Footer">
    <w:name w:val="footer"/>
    <w:basedOn w:val="Normal"/>
    <w:link w:val="FooterChar"/>
    <w:uiPriority w:val="99"/>
    <w:unhideWhenUsed/>
    <w:rsid w:val="00F94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02C"/>
  </w:style>
  <w:style w:type="character" w:styleId="Strong">
    <w:name w:val="Strong"/>
    <w:basedOn w:val="DefaultParagraphFont"/>
    <w:uiPriority w:val="22"/>
    <w:qFormat/>
    <w:rsid w:val="007D76A1"/>
    <w:rPr>
      <w:b/>
      <w:bCs/>
    </w:rPr>
  </w:style>
  <w:style w:type="character" w:styleId="FollowedHyperlink">
    <w:name w:val="FollowedHyperlink"/>
    <w:basedOn w:val="DefaultParagraphFont"/>
    <w:uiPriority w:val="99"/>
    <w:semiHidden/>
    <w:unhideWhenUsed/>
    <w:rsid w:val="00C954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sp.gov.al/drejtori-i-departamentit-per-sigurine-publike-drejtues-i-larte-dhimitraq-ziu-konference-per-median-ne-lidhje-me-veprimet-hetimore-dhe-policore-te-kryera-ne-lidhje-me-protestat-e-dhunshme-te-diteve/" TargetMode="External"/><Relationship Id="rId13" Type="http://schemas.openxmlformats.org/officeDocument/2006/relationships/hyperlink" Target="https://www.kryeministria.al/newsroom/vendim-i-miratuar-ne-mbledhjen-e-keshillit-te-ministrave-date-19-tetor-2026/" TargetMode="External"/><Relationship Id="rId18" Type="http://schemas.openxmlformats.org/officeDocument/2006/relationships/hyperlink" Target="https://www.kryeministria.al/newsroom/vendim-i-miratuar-ne-mbledhjen-e-keshillit-te-ministrave-date-19-tetor-2026/" TargetMode="External"/><Relationship Id="rId3" Type="http://schemas.openxmlformats.org/officeDocument/2006/relationships/hyperlink" Target="https://odihr.osce.org/odihr/73405" TargetMode="External"/><Relationship Id="rId7" Type="http://schemas.openxmlformats.org/officeDocument/2006/relationships/hyperlink" Target="https://asp.gov.al/policia-e-shtetit-plan-masash-per-garantimin-e-sigurise-gjate-vizites-se-presidentit-erdogan/" TargetMode="External"/><Relationship Id="rId12" Type="http://schemas.openxmlformats.org/officeDocument/2006/relationships/hyperlink" Target="https://asp.gov.al/drejtori-i-pergjithshem-i-policise-se-shtetit-drejtues-madhor-skender-hita-konference-per-median/" TargetMode="External"/><Relationship Id="rId17" Type="http://schemas.openxmlformats.org/officeDocument/2006/relationships/hyperlink" Target="https://www.avokatipopullit.gov.al/sq/articles-layout-1/home/news/communication-&#235;ith-the-media-delivered-by-commissioner-ahmet-preni-regarding-the-findings-from-the-monitoring-of-the-protest-on-october-20th-1383/" TargetMode="External"/><Relationship Id="rId2" Type="http://schemas.openxmlformats.org/officeDocument/2006/relationships/hyperlink" Target="https://www.avokatipopullit.gov.al/sq/articles-layout-1/home/news/commissioner-ahmet-preni-communication-with-the-media-regarding-findings-from-the-monitoring-of-the-october-19-2026-protest-1382/" TargetMode="External"/><Relationship Id="rId16" Type="http://schemas.openxmlformats.org/officeDocument/2006/relationships/hyperlink" Target="https://www.avokatipopullit.gov.al/sq/articles-layout-1/home/news/commissioner-ahmet-preni-communication-with-the-media-regarding-findings-from-the-monitoring-of-the-october-19-2026-protest-1382/" TargetMode="External"/><Relationship Id="rId20" Type="http://schemas.openxmlformats.org/officeDocument/2006/relationships/hyperlink" Target="https://media.unmikonline.org/hrap/Alb/Cases%20Albanian/OP_004-07_%20AL.pdf" TargetMode="External"/><Relationship Id="rId1" Type="http://schemas.openxmlformats.org/officeDocument/2006/relationships/hyperlink" Target="https://www.avokatipopullit.gov.al/sq/articles-layout-1/media/news/public-statement-by-the-ombudsman-endrit-shabani-regarding-preliminary-findings-from-the-monitoring-of-protests-1380/" TargetMode="External"/><Relationship Id="rId6" Type="http://schemas.openxmlformats.org/officeDocument/2006/relationships/hyperlink" Target="https://asp.gov.al/drejtori-i-pergjithshem-i-policise-se-shtetit-drejtues-madhor-skender-hita-konference-per-median/" TargetMode="External"/><Relationship Id="rId11" Type="http://schemas.openxmlformats.org/officeDocument/2006/relationships/hyperlink" Target="https://avokatipopullit.gov.al/sq/articles-layout-1/home/news/public-statement-by-the-ombudsman-endrit-shabani-regarding-preliminary-findings-from-the-monitoring-of-protests-1380/" TargetMode="External"/><Relationship Id="rId5" Type="http://schemas.openxmlformats.org/officeDocument/2006/relationships/hyperlink" Target="https://www.avokatipopullit.gov.al/sq/articles-layout-1/home/news/communication-with-the-media-delivered-by-commissioner-ahmet-preni-regarding-the-findings-from-the-monitoring-of-the-protest-on-october-20th-1383/" TargetMode="External"/><Relationship Id="rId15" Type="http://schemas.openxmlformats.org/officeDocument/2006/relationships/hyperlink" Target="https://asp.gov.al/drejtori-i-pergjithshem-i-policise-se-shtetit-drejtues-madhor-skender-hita-konference-per-median/" TargetMode="External"/><Relationship Id="rId10" Type="http://schemas.openxmlformats.org/officeDocument/2006/relationships/hyperlink" Target="https://asp.gov.al/reagim-i-drejtorise-vendore-te-policise-vlore-11/" TargetMode="External"/><Relationship Id="rId19" Type="http://schemas.openxmlformats.org/officeDocument/2006/relationships/hyperlink" Target="https://www.ohchr.org/sites/default/files/Documents/HRBodies/CCPR/LLW_Guidance.pdf" TargetMode="External"/><Relationship Id="rId4" Type="http://schemas.openxmlformats.org/officeDocument/2006/relationships/hyperlink" Target="https://odihr.osce.org/odihr/576672" TargetMode="External"/><Relationship Id="rId9" Type="http://schemas.openxmlformats.org/officeDocument/2006/relationships/hyperlink" Target="https://shqiptarja.com/lajm/lirohen-protestuesit-e-shoqeruar-ne-shkoder-djegin-koshat-e-mbeturinave-ne-rruge-nisen-drejt-bashkise" TargetMode="External"/><Relationship Id="rId14" Type="http://schemas.openxmlformats.org/officeDocument/2006/relationships/hyperlink" Target="https://www.avokatipopullit.gov.al/sq/articles-layout-1/media/news/public-statement-by-the-ombudsman-endrit-shabani-regarding-preliminary-findings-from-the-monitoring-of-protests-1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E1BE9-56B6-46D5-98AF-54D56981E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29</Pages>
  <Words>14460</Words>
  <Characters>78952</Characters>
  <Application>Microsoft Office Word</Application>
  <DocSecurity>0</DocSecurity>
  <Lines>1754</Lines>
  <Paragraphs>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Matlija</dc:creator>
  <cp:keywords/>
  <dc:description/>
  <cp:lastModifiedBy>Dorian Matlija</cp:lastModifiedBy>
  <cp:revision>68</cp:revision>
  <dcterms:created xsi:type="dcterms:W3CDTF">2026-10-22T17:17:00Z</dcterms:created>
  <dcterms:modified xsi:type="dcterms:W3CDTF">2026-10-23T12:29:00Z</dcterms:modified>
</cp:coreProperties>
</file>